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166E580C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F15D30">
        <w:rPr>
          <w:b/>
          <w:sz w:val="24"/>
          <w:szCs w:val="24"/>
        </w:rPr>
        <w:t>4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0E1A3AA0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</w:p>
    <w:p w14:paraId="5652057A" w14:textId="7F528DE0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C17DFB">
        <w:rPr>
          <w:color w:val="000000"/>
          <w:sz w:val="24"/>
          <w:szCs w:val="24"/>
          <w:u w:val="single"/>
        </w:rPr>
        <w:t>4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4269"/>
        <w:gridCol w:w="3969"/>
        <w:gridCol w:w="3402"/>
        <w:gridCol w:w="1023"/>
        <w:gridCol w:w="1944"/>
        <w:gridCol w:w="8"/>
      </w:tblGrid>
      <w:tr w:rsidR="00E342B5" w:rsidRPr="0041570F" w14:paraId="1E084CC1" w14:textId="77777777" w:rsidTr="006E4AAB">
        <w:trPr>
          <w:gridAfter w:val="1"/>
          <w:wAfter w:w="8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6515B9" w:rsidRDefault="00E342B5" w:rsidP="00A51978">
            <w:pPr>
              <w:jc w:val="center"/>
              <w:rPr>
                <w:sz w:val="18"/>
                <w:szCs w:val="18"/>
              </w:rPr>
            </w:pPr>
            <w:r w:rsidRPr="006515B9">
              <w:rPr>
                <w:sz w:val="18"/>
                <w:szCs w:val="18"/>
              </w:rPr>
              <w:t xml:space="preserve">№ </w:t>
            </w:r>
            <w:proofErr w:type="gramStart"/>
            <w:r w:rsidRPr="006515B9">
              <w:rPr>
                <w:sz w:val="18"/>
                <w:szCs w:val="18"/>
              </w:rPr>
              <w:t>п</w:t>
            </w:r>
            <w:proofErr w:type="gramEnd"/>
            <w:r w:rsidRPr="006515B9">
              <w:rPr>
                <w:sz w:val="18"/>
                <w:szCs w:val="18"/>
              </w:rPr>
              <w:t xml:space="preserve">/п </w:t>
            </w:r>
            <w:r w:rsidRPr="006515B9">
              <w:rPr>
                <w:i/>
                <w:iCs/>
                <w:sz w:val="18"/>
                <w:szCs w:val="18"/>
              </w:rPr>
              <w:t xml:space="preserve">(в </w:t>
            </w:r>
            <w:proofErr w:type="spellStart"/>
            <w:r w:rsidRPr="006515B9">
              <w:rPr>
                <w:i/>
                <w:iCs/>
                <w:sz w:val="18"/>
                <w:szCs w:val="18"/>
              </w:rPr>
              <w:t>соответ-ствии</w:t>
            </w:r>
            <w:proofErr w:type="spellEnd"/>
            <w:r w:rsidRPr="006515B9">
              <w:rPr>
                <w:i/>
                <w:iCs/>
                <w:sz w:val="18"/>
                <w:szCs w:val="18"/>
              </w:rPr>
              <w:t xml:space="preserve"> с «</w:t>
            </w:r>
            <w:proofErr w:type="spellStart"/>
            <w:r w:rsidRPr="006515B9">
              <w:rPr>
                <w:i/>
                <w:iCs/>
                <w:sz w:val="18"/>
                <w:szCs w:val="18"/>
              </w:rPr>
              <w:t>дорож</w:t>
            </w:r>
            <w:proofErr w:type="spellEnd"/>
            <w:r w:rsidRPr="006515B9">
              <w:rPr>
                <w:i/>
                <w:iCs/>
                <w:sz w:val="18"/>
                <w:szCs w:val="18"/>
              </w:rPr>
              <w:t>-ной картой»)</w:t>
            </w:r>
          </w:p>
        </w:tc>
        <w:tc>
          <w:tcPr>
            <w:tcW w:w="4269" w:type="dxa"/>
            <w:vAlign w:val="center"/>
          </w:tcPr>
          <w:p w14:paraId="107F03CA" w14:textId="56965118" w:rsidR="00E342B5" w:rsidRPr="006515B9" w:rsidRDefault="00E342B5" w:rsidP="00A51978">
            <w:pPr>
              <w:jc w:val="center"/>
              <w:rPr>
                <w:sz w:val="18"/>
                <w:szCs w:val="18"/>
              </w:rPr>
            </w:pPr>
            <w:r w:rsidRPr="006515B9">
              <w:rPr>
                <w:sz w:val="18"/>
                <w:szCs w:val="18"/>
              </w:rPr>
              <w:t>Наименование мероприятия «дорожной карты»</w:t>
            </w:r>
          </w:p>
        </w:tc>
        <w:tc>
          <w:tcPr>
            <w:tcW w:w="3969" w:type="dxa"/>
            <w:vAlign w:val="center"/>
          </w:tcPr>
          <w:p w14:paraId="73C12237" w14:textId="29D90308" w:rsidR="00E342B5" w:rsidRPr="006515B9" w:rsidRDefault="00E342B5" w:rsidP="006515B9">
            <w:pPr>
              <w:jc w:val="center"/>
              <w:rPr>
                <w:sz w:val="18"/>
                <w:szCs w:val="18"/>
              </w:rPr>
            </w:pPr>
            <w:r w:rsidRPr="006515B9">
              <w:rPr>
                <w:sz w:val="18"/>
                <w:szCs w:val="18"/>
              </w:rPr>
              <w:t>Фактический р</w:t>
            </w:r>
            <w:r w:rsidR="006515B9">
              <w:rPr>
                <w:sz w:val="18"/>
                <w:szCs w:val="18"/>
              </w:rPr>
              <w:t xml:space="preserve">езультат выполнения мероприятия </w:t>
            </w:r>
            <w:r w:rsidR="005817E1" w:rsidRPr="006515B9">
              <w:rPr>
                <w:sz w:val="18"/>
                <w:szCs w:val="18"/>
              </w:rPr>
              <w:t>по состоянию на 01.0</w:t>
            </w:r>
            <w:r w:rsidR="00F15D30" w:rsidRPr="006515B9">
              <w:rPr>
                <w:sz w:val="18"/>
                <w:szCs w:val="18"/>
              </w:rPr>
              <w:t>1</w:t>
            </w:r>
            <w:r w:rsidR="005817E1" w:rsidRPr="006515B9">
              <w:rPr>
                <w:sz w:val="18"/>
                <w:szCs w:val="18"/>
              </w:rPr>
              <w:t>.202</w:t>
            </w:r>
            <w:r w:rsidR="00F15D30" w:rsidRPr="006515B9">
              <w:rPr>
                <w:sz w:val="18"/>
                <w:szCs w:val="18"/>
              </w:rPr>
              <w:t>5</w:t>
            </w:r>
            <w:r w:rsidR="005817E1" w:rsidRPr="006515B9">
              <w:rPr>
                <w:sz w:val="18"/>
                <w:szCs w:val="18"/>
              </w:rPr>
              <w:t xml:space="preserve"> </w:t>
            </w:r>
            <w:r w:rsidRPr="006515B9">
              <w:rPr>
                <w:sz w:val="18"/>
                <w:szCs w:val="18"/>
              </w:rPr>
              <w:t>(у</w:t>
            </w:r>
            <w:r w:rsidRPr="006515B9">
              <w:rPr>
                <w:i/>
                <w:iCs/>
                <w:sz w:val="18"/>
                <w:szCs w:val="18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402" w:type="dxa"/>
            <w:vAlign w:val="center"/>
          </w:tcPr>
          <w:p w14:paraId="2D7092BB" w14:textId="39AEB1EB" w:rsidR="00E342B5" w:rsidRPr="006515B9" w:rsidRDefault="00E342B5" w:rsidP="00A51978">
            <w:pPr>
              <w:jc w:val="center"/>
              <w:rPr>
                <w:sz w:val="18"/>
                <w:szCs w:val="18"/>
              </w:rPr>
            </w:pPr>
            <w:r w:rsidRPr="006515B9">
              <w:rPr>
                <w:sz w:val="18"/>
                <w:szCs w:val="18"/>
              </w:rPr>
              <w:t>Наименование показателя</w:t>
            </w:r>
          </w:p>
          <w:p w14:paraId="534A7CE8" w14:textId="52B9CB5A" w:rsidR="00E342B5" w:rsidRPr="006515B9" w:rsidRDefault="00E342B5" w:rsidP="00A51978">
            <w:pPr>
              <w:jc w:val="center"/>
              <w:rPr>
                <w:sz w:val="18"/>
                <w:szCs w:val="18"/>
              </w:rPr>
            </w:pPr>
            <w:r w:rsidRPr="006515B9">
              <w:rPr>
                <w:sz w:val="18"/>
                <w:szCs w:val="18"/>
              </w:rPr>
              <w:t>(</w:t>
            </w:r>
            <w:r w:rsidRPr="006515B9">
              <w:rPr>
                <w:i/>
                <w:sz w:val="18"/>
                <w:szCs w:val="18"/>
              </w:rPr>
              <w:t>в соответствии с «дорожной картой»)</w:t>
            </w:r>
          </w:p>
        </w:tc>
        <w:tc>
          <w:tcPr>
            <w:tcW w:w="1023" w:type="dxa"/>
            <w:textDirection w:val="btLr"/>
            <w:vAlign w:val="center"/>
          </w:tcPr>
          <w:p w14:paraId="1D81C111" w14:textId="050DCDFC" w:rsidR="00E342B5" w:rsidRPr="006515B9" w:rsidRDefault="00E342B5" w:rsidP="00A51978">
            <w:pPr>
              <w:jc w:val="center"/>
              <w:rPr>
                <w:sz w:val="18"/>
                <w:szCs w:val="18"/>
              </w:rPr>
            </w:pPr>
            <w:r w:rsidRPr="006515B9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44" w:type="dxa"/>
            <w:vAlign w:val="center"/>
          </w:tcPr>
          <w:p w14:paraId="6BA6C3E5" w14:textId="2DC51F40" w:rsidR="00E342B5" w:rsidRPr="006515B9" w:rsidRDefault="00E342B5" w:rsidP="005817E1">
            <w:pPr>
              <w:jc w:val="center"/>
              <w:rPr>
                <w:sz w:val="18"/>
                <w:szCs w:val="18"/>
              </w:rPr>
            </w:pPr>
            <w:r w:rsidRPr="006515B9">
              <w:rPr>
                <w:sz w:val="18"/>
                <w:szCs w:val="18"/>
              </w:rPr>
              <w:t>Фактическое значение</w:t>
            </w:r>
            <w:r w:rsidR="00E029DD" w:rsidRPr="006515B9">
              <w:rPr>
                <w:sz w:val="18"/>
                <w:szCs w:val="18"/>
              </w:rPr>
              <w:t xml:space="preserve"> </w:t>
            </w:r>
            <w:r w:rsidR="00E029DD" w:rsidRPr="006515B9">
              <w:rPr>
                <w:b/>
                <w:sz w:val="18"/>
                <w:szCs w:val="18"/>
              </w:rPr>
              <w:t>за январь</w:t>
            </w:r>
            <w:r w:rsidR="005817E1" w:rsidRPr="006515B9">
              <w:rPr>
                <w:b/>
                <w:sz w:val="18"/>
                <w:szCs w:val="18"/>
              </w:rPr>
              <w:t>–</w:t>
            </w:r>
            <w:r w:rsidR="00F15D30" w:rsidRPr="006515B9">
              <w:rPr>
                <w:b/>
                <w:sz w:val="18"/>
                <w:szCs w:val="18"/>
              </w:rPr>
              <w:t>декабр</w:t>
            </w:r>
            <w:r w:rsidR="00E029DD" w:rsidRPr="006515B9">
              <w:rPr>
                <w:b/>
                <w:sz w:val="18"/>
                <w:szCs w:val="18"/>
              </w:rPr>
              <w:t>ь 202</w:t>
            </w:r>
            <w:r w:rsidR="00C17DFB" w:rsidRPr="006515B9">
              <w:rPr>
                <w:b/>
                <w:sz w:val="18"/>
                <w:szCs w:val="18"/>
              </w:rPr>
              <w:t>4</w:t>
            </w:r>
            <w:r w:rsidR="00E029DD" w:rsidRPr="006515B9">
              <w:rPr>
                <w:b/>
                <w:sz w:val="18"/>
                <w:szCs w:val="18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F754BC6" w14:textId="07205A31" w:rsidR="00E342B5" w:rsidRPr="006515B9" w:rsidRDefault="00E342B5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1.1.1.</w:t>
            </w:r>
          </w:p>
        </w:tc>
        <w:tc>
          <w:tcPr>
            <w:tcW w:w="4269" w:type="dxa"/>
            <w:vAlign w:val="center"/>
          </w:tcPr>
          <w:p w14:paraId="11E8C599" w14:textId="42E57AC2" w:rsidR="00E342B5" w:rsidRPr="006515B9" w:rsidRDefault="00E342B5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969" w:type="dxa"/>
            <w:vAlign w:val="center"/>
          </w:tcPr>
          <w:p w14:paraId="29F129D1" w14:textId="367CBCE2" w:rsidR="00E342B5" w:rsidRPr="005C3C91" w:rsidRDefault="005C3C91" w:rsidP="00D0467A">
            <w:pPr>
              <w:jc w:val="both"/>
              <w:rPr>
                <w:sz w:val="16"/>
                <w:szCs w:val="16"/>
              </w:rPr>
            </w:pPr>
            <w:r w:rsidRPr="0029177D">
              <w:rPr>
                <w:sz w:val="16"/>
                <w:szCs w:val="16"/>
              </w:rPr>
              <w:t xml:space="preserve">В  Володарском муниципальном округе  оказание консультационных услуг для субъектов малого и среднего предпринимательства осуществляет   </w:t>
            </w:r>
            <w:r>
              <w:rPr>
                <w:sz w:val="16"/>
                <w:szCs w:val="16"/>
              </w:rPr>
              <w:t xml:space="preserve">вновь </w:t>
            </w:r>
            <w:proofErr w:type="gramStart"/>
            <w:r>
              <w:rPr>
                <w:sz w:val="16"/>
                <w:szCs w:val="16"/>
              </w:rPr>
              <w:t>созданная</w:t>
            </w:r>
            <w:proofErr w:type="gramEnd"/>
            <w:r>
              <w:rPr>
                <w:sz w:val="16"/>
                <w:szCs w:val="16"/>
              </w:rPr>
              <w:t xml:space="preserve">  в  текущем году</w:t>
            </w:r>
            <w:r w:rsidRPr="0029177D">
              <w:rPr>
                <w:sz w:val="16"/>
                <w:szCs w:val="16"/>
              </w:rPr>
              <w:t xml:space="preserve">  МАУ «Волод</w:t>
            </w:r>
            <w:r>
              <w:rPr>
                <w:sz w:val="16"/>
                <w:szCs w:val="16"/>
              </w:rPr>
              <w:t xml:space="preserve">арский центр развития бизнеса». </w:t>
            </w:r>
            <w:r w:rsidRPr="0029177D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29177D">
              <w:rPr>
                <w:sz w:val="16"/>
                <w:szCs w:val="16"/>
              </w:rPr>
              <w:t xml:space="preserve">Володарского муниципального округа  обеспечивает  текущую  деятельность </w:t>
            </w:r>
            <w:proofErr w:type="spellStart"/>
            <w:r w:rsidRPr="0029177D">
              <w:rPr>
                <w:sz w:val="16"/>
                <w:szCs w:val="16"/>
              </w:rPr>
              <w:t>бизнесцентра</w:t>
            </w:r>
            <w:proofErr w:type="spellEnd"/>
            <w:r w:rsidRPr="0029177D">
              <w:rPr>
                <w:sz w:val="16"/>
                <w:szCs w:val="16"/>
              </w:rPr>
              <w:t>. Всего оказано в  2024 год</w:t>
            </w:r>
            <w:r w:rsidR="00D0467A">
              <w:rPr>
                <w:sz w:val="16"/>
                <w:szCs w:val="16"/>
              </w:rPr>
              <w:t xml:space="preserve">у </w:t>
            </w:r>
            <w:r w:rsidR="00EA2276" w:rsidRPr="00EA2276">
              <w:rPr>
                <w:sz w:val="16"/>
                <w:szCs w:val="16"/>
              </w:rPr>
              <w:t>364</w:t>
            </w:r>
            <w:r w:rsidRPr="0029177D">
              <w:rPr>
                <w:sz w:val="16"/>
                <w:szCs w:val="16"/>
              </w:rPr>
              <w:t xml:space="preserve"> безвозмездных консультационных услуг.  Для оперативного информирования субъектов МСП о различных вопросах ведения хозяйственной деятельности организован чат  </w:t>
            </w:r>
            <w:proofErr w:type="gramStart"/>
            <w:r w:rsidRPr="0029177D">
              <w:rPr>
                <w:sz w:val="16"/>
                <w:szCs w:val="16"/>
              </w:rPr>
              <w:t>бизнес-сообщества</w:t>
            </w:r>
            <w:proofErr w:type="gramEnd"/>
            <w:r w:rsidRPr="0029177D">
              <w:rPr>
                <w:sz w:val="16"/>
                <w:szCs w:val="16"/>
              </w:rPr>
              <w:t xml:space="preserve">  с администрацией округа  (140 участников).</w:t>
            </w:r>
          </w:p>
        </w:tc>
        <w:tc>
          <w:tcPr>
            <w:tcW w:w="3402" w:type="dxa"/>
            <w:vAlign w:val="center"/>
          </w:tcPr>
          <w:p w14:paraId="23DE0959" w14:textId="2A2CF4D7" w:rsidR="00E342B5" w:rsidRPr="006515B9" w:rsidRDefault="00E342B5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23" w:type="dxa"/>
            <w:vAlign w:val="center"/>
          </w:tcPr>
          <w:p w14:paraId="2CC2922A" w14:textId="7DA40154" w:rsidR="00E342B5" w:rsidRPr="006515B9" w:rsidRDefault="00E342B5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тыс.ед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944" w:type="dxa"/>
            <w:vAlign w:val="center"/>
          </w:tcPr>
          <w:p w14:paraId="18196DAE" w14:textId="59CB5DCA" w:rsidR="00E342B5" w:rsidRPr="006515B9" w:rsidRDefault="008121D1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2276">
              <w:rPr>
                <w:color w:val="000000" w:themeColor="text1"/>
                <w:sz w:val="16"/>
                <w:szCs w:val="16"/>
              </w:rPr>
              <w:t>0,</w:t>
            </w:r>
            <w:r w:rsidR="00EA2276" w:rsidRPr="00EA2276">
              <w:rPr>
                <w:color w:val="000000" w:themeColor="text1"/>
                <w:sz w:val="16"/>
                <w:szCs w:val="16"/>
              </w:rPr>
              <w:t>36</w:t>
            </w:r>
          </w:p>
        </w:tc>
      </w:tr>
      <w:tr w:rsidR="00E342B5" w:rsidRPr="0041570F" w14:paraId="4426CBB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BAB9130" w14:textId="0C641843" w:rsidR="00E342B5" w:rsidRPr="006515B9" w:rsidRDefault="00E342B5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1.4.1.</w:t>
            </w:r>
          </w:p>
        </w:tc>
        <w:tc>
          <w:tcPr>
            <w:tcW w:w="4269" w:type="dxa"/>
            <w:vAlign w:val="center"/>
          </w:tcPr>
          <w:p w14:paraId="4FED8AB8" w14:textId="37F11A52" w:rsidR="00E342B5" w:rsidRPr="006515B9" w:rsidRDefault="00A51978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3969" w:type="dxa"/>
            <w:vAlign w:val="center"/>
          </w:tcPr>
          <w:p w14:paraId="66EF9C18" w14:textId="3D58CB42" w:rsidR="00E342B5" w:rsidRPr="006515B9" w:rsidRDefault="002B7F64" w:rsidP="0087062E">
            <w:pPr>
              <w:jc w:val="both"/>
              <w:rPr>
                <w:i/>
                <w:iCs/>
                <w:color w:val="7030A0"/>
                <w:sz w:val="16"/>
                <w:szCs w:val="16"/>
              </w:rPr>
            </w:pPr>
            <w:r w:rsidRPr="00574787">
              <w:rPr>
                <w:sz w:val="16"/>
                <w:szCs w:val="16"/>
              </w:rPr>
              <w:t>Всего предприятий  с муниципальным участием  на начало года -  6  муниципальных унитарных предприятий.  Проводятся мероприятия по ликвидации  убыточных предприятий.    Проходят процедуру банкротства МУП ЖКХ «И</w:t>
            </w:r>
            <w:r>
              <w:rPr>
                <w:sz w:val="16"/>
                <w:szCs w:val="16"/>
              </w:rPr>
              <w:t>льиногорское», МУП «</w:t>
            </w:r>
            <w:proofErr w:type="spellStart"/>
            <w:r>
              <w:rPr>
                <w:sz w:val="16"/>
                <w:szCs w:val="16"/>
              </w:rPr>
              <w:t>Юганецкое</w:t>
            </w:r>
            <w:proofErr w:type="spellEnd"/>
            <w:r>
              <w:rPr>
                <w:sz w:val="16"/>
                <w:szCs w:val="16"/>
              </w:rPr>
              <w:t>». МУП «</w:t>
            </w:r>
            <w:proofErr w:type="spellStart"/>
            <w:r>
              <w:rPr>
                <w:sz w:val="16"/>
                <w:szCs w:val="16"/>
              </w:rPr>
              <w:t>Жилищник</w:t>
            </w:r>
            <w:proofErr w:type="spellEnd"/>
            <w:r>
              <w:rPr>
                <w:sz w:val="16"/>
                <w:szCs w:val="16"/>
              </w:rPr>
              <w:t>»</w:t>
            </w:r>
            <w: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2B7F64">
              <w:rPr>
                <w:sz w:val="16"/>
                <w:szCs w:val="16"/>
              </w:rPr>
              <w:t>иквидировано вследствие банкротства. Исключено из ЕГРЮЛ 02.09.2024г.</w:t>
            </w:r>
            <w:r>
              <w:rPr>
                <w:sz w:val="16"/>
                <w:szCs w:val="16"/>
              </w:rPr>
              <w:t xml:space="preserve"> </w:t>
            </w:r>
            <w:r w:rsidRPr="00574787">
              <w:rPr>
                <w:sz w:val="16"/>
                <w:szCs w:val="16"/>
              </w:rPr>
              <w:t xml:space="preserve"> Не осуществляют деятельность: МУП «</w:t>
            </w:r>
            <w:proofErr w:type="spellStart"/>
            <w:r w:rsidRPr="00574787">
              <w:rPr>
                <w:sz w:val="16"/>
                <w:szCs w:val="16"/>
              </w:rPr>
              <w:t>Коммунсервис</w:t>
            </w:r>
            <w:proofErr w:type="spellEnd"/>
            <w:r w:rsidRPr="00574787">
              <w:rPr>
                <w:sz w:val="16"/>
                <w:szCs w:val="16"/>
              </w:rPr>
              <w:t>», МУП «</w:t>
            </w:r>
            <w:proofErr w:type="spellStart"/>
            <w:r w:rsidRPr="00574787">
              <w:rPr>
                <w:sz w:val="16"/>
                <w:szCs w:val="16"/>
              </w:rPr>
              <w:t>Решетихинские</w:t>
            </w:r>
            <w:proofErr w:type="spellEnd"/>
            <w:r w:rsidRPr="00574787">
              <w:rPr>
                <w:sz w:val="16"/>
                <w:szCs w:val="16"/>
              </w:rPr>
              <w:t xml:space="preserve"> коммунальные сети», по которым принято  решение о ликвидац</w:t>
            </w:r>
            <w:r>
              <w:rPr>
                <w:sz w:val="16"/>
                <w:szCs w:val="16"/>
              </w:rPr>
              <w:t>ии до 31.12.2025</w:t>
            </w:r>
            <w:r w:rsidR="0087062E">
              <w:rPr>
                <w:sz w:val="16"/>
                <w:szCs w:val="16"/>
              </w:rPr>
              <w:t xml:space="preserve">г. </w:t>
            </w:r>
            <w:r w:rsidR="0087062E" w:rsidRPr="0087062E">
              <w:rPr>
                <w:sz w:val="16"/>
                <w:szCs w:val="16"/>
              </w:rPr>
              <w:t>МУП «</w:t>
            </w:r>
            <w:proofErr w:type="spellStart"/>
            <w:r w:rsidR="0087062E" w:rsidRPr="0087062E">
              <w:rPr>
                <w:sz w:val="16"/>
                <w:szCs w:val="16"/>
              </w:rPr>
              <w:t>Новосмолинское</w:t>
            </w:r>
            <w:proofErr w:type="spellEnd"/>
            <w:r w:rsidR="0087062E" w:rsidRPr="0087062E">
              <w:rPr>
                <w:sz w:val="16"/>
                <w:szCs w:val="16"/>
              </w:rPr>
              <w:t>» было реорганизовано путём присоединения к МУП ЖКХ «</w:t>
            </w:r>
            <w:proofErr w:type="spellStart"/>
            <w:r w:rsidR="0087062E" w:rsidRPr="0087062E">
              <w:rPr>
                <w:sz w:val="16"/>
                <w:szCs w:val="16"/>
              </w:rPr>
              <w:t>Жилсервис</w:t>
            </w:r>
            <w:proofErr w:type="spellEnd"/>
            <w:r w:rsidR="0087062E" w:rsidRPr="0087062E">
              <w:rPr>
                <w:sz w:val="16"/>
                <w:szCs w:val="16"/>
              </w:rPr>
              <w:t>» Володарского района.</w:t>
            </w:r>
            <w:r w:rsidR="0087062E">
              <w:rPr>
                <w:sz w:val="16"/>
                <w:szCs w:val="16"/>
              </w:rPr>
              <w:t xml:space="preserve"> </w:t>
            </w:r>
            <w:r w:rsidR="0087062E" w:rsidRPr="00C124DD">
              <w:rPr>
                <w:sz w:val="17"/>
                <w:szCs w:val="17"/>
              </w:rPr>
              <w:t xml:space="preserve">В результате реорганизации </w:t>
            </w:r>
            <w:r w:rsidR="0087062E">
              <w:rPr>
                <w:sz w:val="16"/>
                <w:szCs w:val="16"/>
              </w:rPr>
              <w:t xml:space="preserve">МУП ЖКХ  </w:t>
            </w:r>
            <w:r w:rsidR="0087062E" w:rsidRPr="00C124DD">
              <w:rPr>
                <w:sz w:val="17"/>
                <w:szCs w:val="17"/>
              </w:rPr>
              <w:t>«</w:t>
            </w:r>
            <w:proofErr w:type="spellStart"/>
            <w:r w:rsidR="0087062E" w:rsidRPr="00C124DD">
              <w:rPr>
                <w:sz w:val="17"/>
                <w:szCs w:val="17"/>
              </w:rPr>
              <w:t>Жилсервис</w:t>
            </w:r>
            <w:proofErr w:type="spellEnd"/>
            <w:r w:rsidR="0087062E" w:rsidRPr="00C124DD">
              <w:rPr>
                <w:sz w:val="17"/>
                <w:szCs w:val="17"/>
              </w:rPr>
              <w:t>» продолжил свою деятельность.</w:t>
            </w:r>
          </w:p>
        </w:tc>
        <w:tc>
          <w:tcPr>
            <w:tcW w:w="3402" w:type="dxa"/>
            <w:vAlign w:val="center"/>
          </w:tcPr>
          <w:p w14:paraId="11442A1A" w14:textId="6D927F69" w:rsidR="00E342B5" w:rsidRPr="006515B9" w:rsidRDefault="00783BCC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Муниципальные программы управления муниципальным имуществом</w:t>
            </w:r>
          </w:p>
        </w:tc>
        <w:tc>
          <w:tcPr>
            <w:tcW w:w="1023" w:type="dxa"/>
            <w:vAlign w:val="center"/>
          </w:tcPr>
          <w:p w14:paraId="7D181188" w14:textId="24901604" w:rsidR="00E342B5" w:rsidRPr="006515B9" w:rsidRDefault="00001E61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7F0FD1B4" w14:textId="46A94B87" w:rsidR="00E342B5" w:rsidRPr="006515B9" w:rsidRDefault="00001E61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342B5" w:rsidRPr="0041570F" w14:paraId="5870C85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F613924" w14:textId="59DA2F76" w:rsidR="00E342B5" w:rsidRPr="006515B9" w:rsidRDefault="00E342B5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1.4.7.</w:t>
            </w:r>
          </w:p>
        </w:tc>
        <w:tc>
          <w:tcPr>
            <w:tcW w:w="4269" w:type="dxa"/>
            <w:vAlign w:val="center"/>
          </w:tcPr>
          <w:p w14:paraId="6FD9ECDF" w14:textId="115A17F7" w:rsidR="00E342B5" w:rsidRPr="006515B9" w:rsidRDefault="00001E61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Составление плана-графика полной инвентаризации муниципального имущества, в том числе закрепленного за </w:t>
            </w: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предприятиями и учреждениями</w:t>
            </w:r>
          </w:p>
        </w:tc>
        <w:tc>
          <w:tcPr>
            <w:tcW w:w="3969" w:type="dxa"/>
            <w:vAlign w:val="center"/>
          </w:tcPr>
          <w:p w14:paraId="16611C34" w14:textId="428C5476" w:rsidR="00E342B5" w:rsidRPr="006515B9" w:rsidRDefault="006D5BC1" w:rsidP="006D5BC1">
            <w:pPr>
              <w:jc w:val="both"/>
              <w:rPr>
                <w:i/>
                <w:iCs/>
                <w:color w:val="7030A0"/>
                <w:sz w:val="16"/>
                <w:szCs w:val="16"/>
              </w:rPr>
            </w:pPr>
            <w:r w:rsidRPr="004D1BCE">
              <w:rPr>
                <w:sz w:val="16"/>
                <w:szCs w:val="16"/>
              </w:rPr>
              <w:lastRenderedPageBreak/>
              <w:t xml:space="preserve">Проведение  инвентаризации  имущества  казны  утверждено распоряжением администрации </w:t>
            </w:r>
            <w:r w:rsidRPr="004D1BCE">
              <w:rPr>
                <w:sz w:val="16"/>
                <w:szCs w:val="16"/>
              </w:rPr>
              <w:lastRenderedPageBreak/>
              <w:t xml:space="preserve">Володарского муниципального округа Нижегородской области  от 29.12.2023г.  № 1592-р. Инвентаризация осуществляется  путем сверки данных бюджетного учета с данными реестра муниципальной собственности по состоянию на 01.07.2024 года.  </w:t>
            </w:r>
          </w:p>
        </w:tc>
        <w:tc>
          <w:tcPr>
            <w:tcW w:w="3402" w:type="dxa"/>
            <w:vAlign w:val="center"/>
          </w:tcPr>
          <w:p w14:paraId="2683ADAA" w14:textId="406F545E" w:rsidR="00E342B5" w:rsidRPr="006515B9" w:rsidRDefault="00783BCC" w:rsidP="00783BC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Планы-графики инвентаризации</w:t>
            </w:r>
          </w:p>
        </w:tc>
        <w:tc>
          <w:tcPr>
            <w:tcW w:w="1023" w:type="dxa"/>
            <w:vAlign w:val="center"/>
          </w:tcPr>
          <w:p w14:paraId="1633C763" w14:textId="7515E85F" w:rsidR="00E342B5" w:rsidRPr="006515B9" w:rsidRDefault="00DA38EC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24AA2422" w14:textId="64807906" w:rsidR="00E342B5" w:rsidRPr="006515B9" w:rsidRDefault="00DA38EC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342B5" w:rsidRPr="0041570F" w14:paraId="23CD342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9C33BAC" w14:textId="2F883F64" w:rsidR="00E342B5" w:rsidRPr="006515B9" w:rsidRDefault="00E342B5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1.4.8.</w:t>
            </w:r>
          </w:p>
        </w:tc>
        <w:tc>
          <w:tcPr>
            <w:tcW w:w="4269" w:type="dxa"/>
            <w:vAlign w:val="center"/>
          </w:tcPr>
          <w:p w14:paraId="51D535E9" w14:textId="35462A34" w:rsidR="00E342B5" w:rsidRPr="006515B9" w:rsidRDefault="00DA38EC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969" w:type="dxa"/>
            <w:vAlign w:val="center"/>
          </w:tcPr>
          <w:p w14:paraId="7B82125E" w14:textId="2CCC2BD2" w:rsidR="00A45002" w:rsidRPr="003738E5" w:rsidRDefault="003738E5" w:rsidP="00A51978">
            <w:pPr>
              <w:jc w:val="both"/>
              <w:rPr>
                <w:iCs/>
                <w:color w:val="7030A0"/>
                <w:sz w:val="16"/>
                <w:szCs w:val="16"/>
              </w:rPr>
            </w:pPr>
            <w:proofErr w:type="gramStart"/>
            <w:r w:rsidRPr="003738E5">
              <w:rPr>
                <w:sz w:val="16"/>
                <w:szCs w:val="16"/>
              </w:rPr>
              <w:t xml:space="preserve">Постановлением Администрации Володарского муниципального округа Нижегородской области № 1168 от </w:t>
            </w:r>
            <w:smartTag w:uri="urn:schemas-microsoft-com:office:smarttags" w:element="date">
              <w:smartTagPr>
                <w:attr w:name="Year" w:val="2024"/>
                <w:attr w:name="Day" w:val="02"/>
                <w:attr w:name="Month" w:val="04"/>
                <w:attr w:name="ls" w:val="trans"/>
              </w:smartTagPr>
              <w:r w:rsidRPr="003738E5">
                <w:rPr>
                  <w:sz w:val="16"/>
                  <w:szCs w:val="16"/>
                </w:rPr>
                <w:t>02.04.2024</w:t>
              </w:r>
            </w:smartTag>
            <w:r w:rsidRPr="003738E5">
              <w:rPr>
                <w:sz w:val="16"/>
                <w:szCs w:val="16"/>
              </w:rPr>
              <w:t xml:space="preserve"> года утвержден план-график проведения мероприятий по контролю за сохранностью и использованию по назначению недвижимого, движимого, особо ценного муниципального имущества, закрепленного на праве хозяйственного ведения за муниципальными унитарными предприятиями и на праве оперативного управления за муниципальными учреждениями, а также переданного в установленном порядке иным лицам».</w:t>
            </w:r>
            <w:proofErr w:type="gramEnd"/>
            <w:r w:rsidRPr="003738E5">
              <w:rPr>
                <w:sz w:val="16"/>
                <w:szCs w:val="16"/>
              </w:rPr>
              <w:t xml:space="preserve"> Постановлением № 2315 от </w:t>
            </w:r>
            <w:smartTag w:uri="urn:schemas-microsoft-com:office:smarttags" w:element="date">
              <w:smartTagPr>
                <w:attr w:name="Year" w:val="2024"/>
                <w:attr w:name="Day" w:val="28"/>
                <w:attr w:name="Month" w:val="06"/>
                <w:attr w:name="ls" w:val="trans"/>
              </w:smartTagPr>
              <w:r w:rsidRPr="003738E5">
                <w:rPr>
                  <w:sz w:val="16"/>
                  <w:szCs w:val="16"/>
                </w:rPr>
                <w:t>28.06.2024</w:t>
              </w:r>
            </w:smartTag>
            <w:r w:rsidRPr="003738E5">
              <w:rPr>
                <w:sz w:val="16"/>
                <w:szCs w:val="16"/>
              </w:rPr>
              <w:t xml:space="preserve"> года создана комиссия по </w:t>
            </w:r>
            <w:proofErr w:type="gramStart"/>
            <w:r w:rsidRPr="003738E5">
              <w:rPr>
                <w:sz w:val="16"/>
                <w:szCs w:val="16"/>
              </w:rPr>
              <w:t>контролю за</w:t>
            </w:r>
            <w:proofErr w:type="gramEnd"/>
            <w:r w:rsidRPr="003738E5">
              <w:rPr>
                <w:sz w:val="16"/>
                <w:szCs w:val="16"/>
              </w:rPr>
              <w:t xml:space="preserve"> сохранностью и использованию по назначению недвижимого, движимого, особо ценного муниципального имущества. В связи, с чем были проведены мероприятия в отношении имущества </w:t>
            </w:r>
            <w:proofErr w:type="gramStart"/>
            <w:r w:rsidRPr="003738E5">
              <w:rPr>
                <w:sz w:val="16"/>
                <w:szCs w:val="16"/>
              </w:rPr>
              <w:t>используемых</w:t>
            </w:r>
            <w:proofErr w:type="gramEnd"/>
            <w:r w:rsidRPr="003738E5">
              <w:rPr>
                <w:sz w:val="16"/>
                <w:szCs w:val="16"/>
              </w:rPr>
              <w:t xml:space="preserve">: </w:t>
            </w:r>
            <w:proofErr w:type="gramStart"/>
            <w:r w:rsidRPr="003738E5">
              <w:rPr>
                <w:sz w:val="16"/>
                <w:szCs w:val="16"/>
              </w:rPr>
              <w:t xml:space="preserve">ИП </w:t>
            </w:r>
            <w:proofErr w:type="spellStart"/>
            <w:r w:rsidRPr="003738E5">
              <w:rPr>
                <w:sz w:val="16"/>
                <w:szCs w:val="16"/>
              </w:rPr>
              <w:t>Адюковым</w:t>
            </w:r>
            <w:proofErr w:type="spellEnd"/>
            <w:r w:rsidRPr="003738E5">
              <w:rPr>
                <w:sz w:val="16"/>
                <w:szCs w:val="16"/>
              </w:rPr>
              <w:t>; МБОУ средняя школа №2; Управлением по обеспечению деятельности мировых судей, адвокатуры и нотариата Нижегородской области; ПАО «Ростелеком»; ГБУ НО «Уполномоченный МФЦ»; МБОУ ДО ДДТ;</w:t>
            </w:r>
            <w:r>
              <w:rPr>
                <w:sz w:val="16"/>
                <w:szCs w:val="16"/>
              </w:rPr>
              <w:t xml:space="preserve"> </w:t>
            </w:r>
            <w:r w:rsidRPr="003738E5">
              <w:rPr>
                <w:sz w:val="16"/>
                <w:szCs w:val="16"/>
              </w:rPr>
              <w:t xml:space="preserve">Нотариусом </w:t>
            </w:r>
            <w:proofErr w:type="spellStart"/>
            <w:r w:rsidRPr="003738E5">
              <w:rPr>
                <w:sz w:val="16"/>
                <w:szCs w:val="16"/>
              </w:rPr>
              <w:t>Картоминым</w:t>
            </w:r>
            <w:proofErr w:type="spellEnd"/>
            <w:r w:rsidRPr="003738E5">
              <w:rPr>
                <w:sz w:val="16"/>
                <w:szCs w:val="16"/>
              </w:rPr>
              <w:t xml:space="preserve"> В.Я.;</w:t>
            </w:r>
            <w:r>
              <w:rPr>
                <w:sz w:val="16"/>
                <w:szCs w:val="16"/>
              </w:rPr>
              <w:t xml:space="preserve"> </w:t>
            </w:r>
            <w:r w:rsidRPr="003738E5">
              <w:rPr>
                <w:sz w:val="16"/>
                <w:szCs w:val="16"/>
              </w:rPr>
              <w:t>ИП Чудиным А.Н.; ИП Пиотровской И.В.; МВД Володарского района</w:t>
            </w:r>
            <w:r>
              <w:rPr>
                <w:sz w:val="16"/>
                <w:szCs w:val="16"/>
              </w:rPr>
              <w:t xml:space="preserve">.     </w:t>
            </w:r>
            <w:r>
              <w:rPr>
                <w:sz w:val="18"/>
                <w:szCs w:val="18"/>
              </w:rPr>
              <w:t>22.10.2024 года, 23.10.2024 года проведены мероприятия по инвентаризации муниципального имущества.</w:t>
            </w:r>
            <w:proofErr w:type="gramEnd"/>
            <w:r>
              <w:rPr>
                <w:sz w:val="18"/>
                <w:szCs w:val="18"/>
              </w:rPr>
              <w:t xml:space="preserve"> Было проверено имущество в количестве: 4 здания общей площадью 9322,3 кв. м.; 23 помещения общей площадью 408,3 кв. м.; особо ценное движимое имущество: в том числе 3 </w:t>
            </w:r>
            <w:proofErr w:type="gramStart"/>
            <w:r>
              <w:rPr>
                <w:sz w:val="18"/>
                <w:szCs w:val="18"/>
              </w:rPr>
              <w:t>автотранспортных</w:t>
            </w:r>
            <w:proofErr w:type="gramEnd"/>
            <w:r>
              <w:rPr>
                <w:sz w:val="18"/>
                <w:szCs w:val="18"/>
              </w:rPr>
              <w:t xml:space="preserve"> средства.  В ходе  проведения мероприятий установлено, что проверяемое имущество используется в полном объеме по назначению.</w:t>
            </w:r>
          </w:p>
        </w:tc>
        <w:tc>
          <w:tcPr>
            <w:tcW w:w="3402" w:type="dxa"/>
            <w:vAlign w:val="center"/>
          </w:tcPr>
          <w:p w14:paraId="4807A179" w14:textId="6703E8CC" w:rsidR="00E342B5" w:rsidRPr="006515B9" w:rsidRDefault="00783BCC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Проведение инвентаризации</w:t>
            </w:r>
          </w:p>
        </w:tc>
        <w:tc>
          <w:tcPr>
            <w:tcW w:w="1023" w:type="dxa"/>
            <w:vAlign w:val="center"/>
          </w:tcPr>
          <w:p w14:paraId="2DCFD029" w14:textId="2FAFC667" w:rsidR="00E342B5" w:rsidRPr="006515B9" w:rsidRDefault="00DA38EC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67CA8C93" w14:textId="055B347D" w:rsidR="00E342B5" w:rsidRPr="006515B9" w:rsidRDefault="00DA38EC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342B5" w:rsidRPr="0041570F" w14:paraId="44234DC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257AD1E" w14:textId="002E2FC3" w:rsidR="00E342B5" w:rsidRPr="006515B9" w:rsidRDefault="00E342B5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1.4.9.</w:t>
            </w:r>
          </w:p>
        </w:tc>
        <w:tc>
          <w:tcPr>
            <w:tcW w:w="4269" w:type="dxa"/>
            <w:vAlign w:val="center"/>
          </w:tcPr>
          <w:p w14:paraId="48991AA9" w14:textId="417A9ABE" w:rsidR="00E342B5" w:rsidRPr="006515B9" w:rsidRDefault="000C4E1A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Включение имущества, не соответствующего требованиям отнесения к категории имущества, предназначенного для </w:t>
            </w: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реализации функций и полномочий органов местного самоуправления в программу приватизации или план по перепрофилированию (изменению 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34A0992A" w14:textId="3E4234E4" w:rsidR="00E342B5" w:rsidRPr="00483475" w:rsidRDefault="00483475" w:rsidP="006E4AAB">
            <w:pPr>
              <w:jc w:val="both"/>
              <w:rPr>
                <w:color w:val="7030A0"/>
                <w:sz w:val="16"/>
                <w:szCs w:val="16"/>
              </w:rPr>
            </w:pPr>
            <w:r w:rsidRPr="00483475">
              <w:rPr>
                <w:sz w:val="16"/>
                <w:szCs w:val="16"/>
              </w:rPr>
              <w:lastRenderedPageBreak/>
              <w:t xml:space="preserve">Прогнозный план (программа) приватизации муниципального имущества Володарского </w:t>
            </w:r>
            <w:r w:rsidRPr="00483475">
              <w:rPr>
                <w:sz w:val="16"/>
                <w:szCs w:val="16"/>
              </w:rPr>
              <w:lastRenderedPageBreak/>
              <w:t>муниципального округа на 2024 год утвержден Решением Совета депутатов Володарского муниципального округа Нижегородской области № 309 от 23.11.2023 года. Внесены изменения в прогнозный план и утверждены Решением Совета депутатов Володарского муниципального округа № 338 от 25.01.2024 года, № 377 от 25.04.2024 года,№ 405 от 25.07.2024года, № 435 от 31.10.2024 года, № 471 от 26.12.2024 года в части изменения количества имущества, подлежащего приватизации. Всего с учетом изменений в 2024 году планировалась реализация 9 объектов имущества. За  2024 год реализовано 3 объекта недвижимости на сумму 4000000руб.</w:t>
            </w:r>
          </w:p>
        </w:tc>
        <w:tc>
          <w:tcPr>
            <w:tcW w:w="3402" w:type="dxa"/>
            <w:vAlign w:val="center"/>
          </w:tcPr>
          <w:p w14:paraId="1020BCF3" w14:textId="2EC82BFA" w:rsidR="00E342B5" w:rsidRPr="006515B9" w:rsidRDefault="007B4963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 xml:space="preserve">Планы приватизации и/или планы по перепрофилированию (изменению целевого </w:t>
            </w: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назначения) муниципального имущества</w:t>
            </w:r>
          </w:p>
        </w:tc>
        <w:tc>
          <w:tcPr>
            <w:tcW w:w="1023" w:type="dxa"/>
            <w:vAlign w:val="center"/>
          </w:tcPr>
          <w:p w14:paraId="56F67A0C" w14:textId="4C02CEAA" w:rsidR="00E342B5" w:rsidRPr="006515B9" w:rsidRDefault="000C4E1A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944" w:type="dxa"/>
            <w:vAlign w:val="center"/>
          </w:tcPr>
          <w:p w14:paraId="52FD5DD7" w14:textId="22BF2388" w:rsidR="00E342B5" w:rsidRPr="006515B9" w:rsidRDefault="000C4E1A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342B5" w:rsidRPr="0041570F" w14:paraId="3A2F703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96C4422" w14:textId="7FBC1ED2" w:rsidR="00E342B5" w:rsidRPr="006515B9" w:rsidRDefault="00E342B5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1.4.10.</w:t>
            </w:r>
          </w:p>
        </w:tc>
        <w:tc>
          <w:tcPr>
            <w:tcW w:w="4269" w:type="dxa"/>
            <w:vAlign w:val="center"/>
          </w:tcPr>
          <w:p w14:paraId="697E8897" w14:textId="7B7962F9" w:rsidR="00E342B5" w:rsidRPr="006515B9" w:rsidRDefault="00DC5344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7E091DFA" w14:textId="77777777" w:rsidR="00AD2B36" w:rsidRPr="00AD2B36" w:rsidRDefault="00AD2B36" w:rsidP="00AD2B36">
            <w:pPr>
              <w:jc w:val="both"/>
              <w:rPr>
                <w:sz w:val="16"/>
                <w:szCs w:val="16"/>
              </w:rPr>
            </w:pPr>
            <w:r w:rsidRPr="00AD2B36">
              <w:rPr>
                <w:sz w:val="16"/>
                <w:szCs w:val="16"/>
              </w:rPr>
              <w:t xml:space="preserve">Решением Совета депутатов Володарского муниципального округа Нижегородской области № 309 от 23.11.2023 года утвержден Прогнозный план (программа) приватизации муниципального имущества Володарского муниципального округа на 2024 год. За  2024 год прогнозный план (программа) приватизации исполнена на 33,3%. Было размещено 9 </w:t>
            </w:r>
            <w:proofErr w:type="gramStart"/>
            <w:r w:rsidRPr="00AD2B36">
              <w:rPr>
                <w:sz w:val="16"/>
                <w:szCs w:val="16"/>
              </w:rPr>
              <w:t>объектов</w:t>
            </w:r>
            <w:proofErr w:type="gramEnd"/>
            <w:r w:rsidRPr="00AD2B36">
              <w:rPr>
                <w:sz w:val="16"/>
                <w:szCs w:val="16"/>
              </w:rPr>
              <w:t xml:space="preserve"> из которых: на 6 объектов недвижимости   торги не состоялись по причине отсутствия поданных заявок, на 3 объекта торги состоялись.</w:t>
            </w:r>
          </w:p>
          <w:p w14:paraId="364B0A8F" w14:textId="13D0EBF4" w:rsidR="00332AD3" w:rsidRPr="00AD2B36" w:rsidRDefault="00AD2B36" w:rsidP="00AD2B36">
            <w:pPr>
              <w:jc w:val="both"/>
              <w:rPr>
                <w:iCs/>
                <w:color w:val="7030A0"/>
                <w:sz w:val="16"/>
                <w:szCs w:val="16"/>
              </w:rPr>
            </w:pPr>
            <w:r w:rsidRPr="00AD2B36">
              <w:rPr>
                <w:sz w:val="16"/>
                <w:szCs w:val="16"/>
              </w:rPr>
              <w:t xml:space="preserve">План (программа) приватизации муниципального имущества Володарского муниципального округа на 2024  год размещен  по адресу: </w:t>
            </w:r>
            <w:hyperlink r:id="rId9" w:history="1">
              <w:r w:rsidRPr="00AD2B36">
                <w:rPr>
                  <w:rStyle w:val="af0"/>
                  <w:color w:val="000000" w:themeColor="text1"/>
                  <w:sz w:val="16"/>
                  <w:szCs w:val="16"/>
                  <w:u w:val="none"/>
                </w:rPr>
                <w:t>https://volodarsk.nobl.ru/activity/12192/</w:t>
              </w:r>
            </w:hyperlink>
            <w:r>
              <w:rPr>
                <w:rStyle w:val="af0"/>
                <w:color w:val="000000" w:themeColor="text1"/>
                <w:sz w:val="16"/>
                <w:szCs w:val="16"/>
                <w:u w:val="none"/>
              </w:rPr>
              <w:t>.</w:t>
            </w:r>
          </w:p>
        </w:tc>
        <w:tc>
          <w:tcPr>
            <w:tcW w:w="3402" w:type="dxa"/>
            <w:vAlign w:val="center"/>
          </w:tcPr>
          <w:p w14:paraId="77E0D388" w14:textId="75A20BA0" w:rsidR="00E342B5" w:rsidRPr="006515B9" w:rsidRDefault="007B4963" w:rsidP="00A519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23" w:type="dxa"/>
            <w:vAlign w:val="center"/>
          </w:tcPr>
          <w:p w14:paraId="61D92BBE" w14:textId="55E2CC88" w:rsidR="00E342B5" w:rsidRPr="006515B9" w:rsidRDefault="00F00EDA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944" w:type="dxa"/>
            <w:vAlign w:val="center"/>
          </w:tcPr>
          <w:p w14:paraId="07200278" w14:textId="50F8A12B" w:rsidR="00E342B5" w:rsidRPr="006515B9" w:rsidRDefault="00AD2B36" w:rsidP="00A5197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33,3</w:t>
            </w:r>
          </w:p>
        </w:tc>
      </w:tr>
      <w:tr w:rsidR="007B4963" w:rsidRPr="0041570F" w14:paraId="27EDDDD1" w14:textId="77777777" w:rsidTr="006E4AAB">
        <w:trPr>
          <w:gridAfter w:val="1"/>
          <w:wAfter w:w="8" w:type="dxa"/>
        </w:trPr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6515B9" w:rsidRDefault="007B4963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1.4.11.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8396764" w14:textId="5305683A" w:rsidR="007B4963" w:rsidRPr="006515B9" w:rsidRDefault="007B4963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D8FB2E" w14:textId="4A4D157D" w:rsidR="00A65B37" w:rsidRPr="00A65B37" w:rsidRDefault="00A65B37" w:rsidP="00A65B3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 w:rsidRPr="00A65B37">
              <w:rPr>
                <w:iCs/>
                <w:color w:val="000000" w:themeColor="text1"/>
                <w:sz w:val="16"/>
                <w:szCs w:val="16"/>
              </w:rPr>
              <w:t>Муниципальные автономные учреждения при реализации имущества получают согласие от собственника имущества на осуществление данных действий. Реализация имущества осуществляется в соответствии с ФЗ № 135-ФЗ «О защите конкуренции» с соблюдением всех необходимых процедур в соответствии с действующим законодательством РФ. За  2024 год  выдано 21 разрешение на предоставление в аренду нежилого муниципального фонда без проведения конкурсных процедур: МАУ ДО СШ «Авангард» 1; МАУК «</w:t>
            </w:r>
            <w:proofErr w:type="spellStart"/>
            <w:r w:rsidRPr="00A65B37">
              <w:rPr>
                <w:iCs/>
                <w:color w:val="000000" w:themeColor="text1"/>
                <w:sz w:val="16"/>
                <w:szCs w:val="16"/>
              </w:rPr>
              <w:t>Володарское</w:t>
            </w:r>
            <w:proofErr w:type="spellEnd"/>
            <w:r w:rsidRPr="00A65B37">
              <w:rPr>
                <w:iCs/>
                <w:color w:val="000000" w:themeColor="text1"/>
                <w:sz w:val="16"/>
                <w:szCs w:val="16"/>
              </w:rPr>
              <w:t xml:space="preserve"> СКО» - 14; МАУК ТО «Диалог» - 6 разрешений. За период 2024 года было выдано 3 разрешен</w:t>
            </w:r>
            <w:r>
              <w:rPr>
                <w:iCs/>
                <w:color w:val="000000" w:themeColor="text1"/>
                <w:sz w:val="16"/>
                <w:szCs w:val="16"/>
              </w:rPr>
              <w:t>и</w:t>
            </w:r>
            <w:r w:rsidRPr="00A65B37">
              <w:rPr>
                <w:iCs/>
                <w:color w:val="000000" w:themeColor="text1"/>
                <w:sz w:val="16"/>
                <w:szCs w:val="16"/>
              </w:rPr>
              <w:t xml:space="preserve">я на предоставление в аренду нежилого муниципального фонда на основе публичных торгов или иных конкурсных процедур: МАУК </w:t>
            </w:r>
            <w:r w:rsidRPr="00A65B37">
              <w:rPr>
                <w:iCs/>
                <w:color w:val="000000" w:themeColor="text1"/>
                <w:sz w:val="16"/>
                <w:szCs w:val="16"/>
              </w:rPr>
              <w:lastRenderedPageBreak/>
              <w:t>«</w:t>
            </w:r>
            <w:proofErr w:type="spellStart"/>
            <w:r w:rsidRPr="00A65B37">
              <w:rPr>
                <w:iCs/>
                <w:color w:val="000000" w:themeColor="text1"/>
                <w:sz w:val="16"/>
                <w:szCs w:val="16"/>
              </w:rPr>
              <w:t>Володарское</w:t>
            </w:r>
            <w:proofErr w:type="spellEnd"/>
            <w:r w:rsidRPr="00A65B37">
              <w:rPr>
                <w:iCs/>
                <w:color w:val="000000" w:themeColor="text1"/>
                <w:sz w:val="16"/>
                <w:szCs w:val="16"/>
              </w:rPr>
              <w:t xml:space="preserve"> СКО» - 1; МАУК ТО «Диалог» - 2 разрешения. </w:t>
            </w:r>
          </w:p>
          <w:p w14:paraId="1510E04C" w14:textId="1EFAA53F" w:rsidR="007B4963" w:rsidRPr="006515B9" w:rsidRDefault="00A65B37" w:rsidP="00A65B37">
            <w:pPr>
              <w:jc w:val="both"/>
              <w:rPr>
                <w:i/>
                <w:iCs/>
                <w:color w:val="7030A0"/>
                <w:sz w:val="16"/>
                <w:szCs w:val="16"/>
              </w:rPr>
            </w:pPr>
            <w:r w:rsidRPr="00A65B37">
              <w:rPr>
                <w:iCs/>
                <w:color w:val="000000" w:themeColor="text1"/>
                <w:sz w:val="16"/>
                <w:szCs w:val="16"/>
              </w:rPr>
              <w:t>За  2024 год было реализовано 5 объектов движимого имущества (автомобили), общей балансовой стоимостью 13 892 900 руб., которые находились на праве оперативного управления МАУ «АХУ Володарского муниципального округа» и МАУ ФОК «Триумф».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76A3" w14:textId="4CA31F2C" w:rsidR="007B4963" w:rsidRPr="006515B9" w:rsidRDefault="0018132A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5C91971" w14:textId="02EC5C20" w:rsidR="007B4963" w:rsidRPr="006515B9" w:rsidRDefault="00F00EDA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E1CFCE" w14:textId="72350A30" w:rsidR="007B4963" w:rsidRPr="00894F0E" w:rsidRDefault="00894F0E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F0E">
              <w:rPr>
                <w:sz w:val="16"/>
                <w:szCs w:val="16"/>
              </w:rPr>
              <w:t>За  2024 год было выдано 24 разрешение на предоставление в аренду и реализацию имущества.</w:t>
            </w:r>
          </w:p>
        </w:tc>
      </w:tr>
      <w:tr w:rsidR="00F00EDA" w:rsidRPr="0041570F" w14:paraId="66C76A8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9D61109" w14:textId="6534533F" w:rsidR="00F00EDA" w:rsidRPr="006515B9" w:rsidRDefault="00F00EDA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1.6.1.</w:t>
            </w:r>
          </w:p>
        </w:tc>
        <w:tc>
          <w:tcPr>
            <w:tcW w:w="4269" w:type="dxa"/>
          </w:tcPr>
          <w:p w14:paraId="3458613C" w14:textId="7085C50E" w:rsidR="00F00EDA" w:rsidRPr="006515B9" w:rsidRDefault="00F00EDA" w:rsidP="00F00ED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969" w:type="dxa"/>
            <w:vAlign w:val="center"/>
          </w:tcPr>
          <w:p w14:paraId="617D55EA" w14:textId="77777777" w:rsidR="00894F0E" w:rsidRPr="00894F0E" w:rsidRDefault="00894F0E" w:rsidP="00894F0E">
            <w:pPr>
              <w:rPr>
                <w:bCs/>
                <w:sz w:val="16"/>
                <w:szCs w:val="16"/>
              </w:rPr>
            </w:pPr>
            <w:r w:rsidRPr="00894F0E">
              <w:rPr>
                <w:bCs/>
                <w:sz w:val="16"/>
                <w:szCs w:val="16"/>
              </w:rPr>
              <w:t xml:space="preserve">В целях повышения эффективности управления и распоряжения муниципальным имуществом, администрацией Володарского муниципального района постановлением от 21.07.2020г.  №  1070  утверждено Положение об инвентаризации объектов муниципального имущества Володарского муниципального района.  </w:t>
            </w:r>
          </w:p>
          <w:p w14:paraId="3D9701E8" w14:textId="2055E267" w:rsidR="00F00EDA" w:rsidRPr="006515B9" w:rsidRDefault="00894F0E" w:rsidP="00894F0E">
            <w:pPr>
              <w:jc w:val="both"/>
              <w:rPr>
                <w:i/>
                <w:color w:val="7030A0"/>
                <w:sz w:val="16"/>
                <w:szCs w:val="16"/>
              </w:rPr>
            </w:pPr>
            <w:proofErr w:type="gramStart"/>
            <w:r w:rsidRPr="00894F0E">
              <w:rPr>
                <w:sz w:val="16"/>
                <w:szCs w:val="16"/>
              </w:rPr>
              <w:t>22.10.2024, 23.10.2024 года проведены мероприятий по контролю за сохранностью и использованию по назначению недвижимого, движимого, особо ценного муниципального имущества, закрепленного  на праве оперативного управления за муниципальными учреждениями, а также переданного в установленном порядке иным лицам.</w:t>
            </w:r>
            <w:proofErr w:type="gramEnd"/>
          </w:p>
        </w:tc>
        <w:tc>
          <w:tcPr>
            <w:tcW w:w="3402" w:type="dxa"/>
            <w:vAlign w:val="center"/>
          </w:tcPr>
          <w:p w14:paraId="6530E337" w14:textId="35B7591F" w:rsidR="00F00EDA" w:rsidRPr="006515B9" w:rsidRDefault="00F00EDA" w:rsidP="00F00ED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23" w:type="dxa"/>
            <w:vAlign w:val="center"/>
          </w:tcPr>
          <w:p w14:paraId="1F89AF31" w14:textId="56E5A471" w:rsidR="00F00EDA" w:rsidRPr="006515B9" w:rsidRDefault="00F00EDA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944" w:type="dxa"/>
            <w:vAlign w:val="center"/>
          </w:tcPr>
          <w:p w14:paraId="0012A819" w14:textId="72AA410A" w:rsidR="00F00EDA" w:rsidRPr="006515B9" w:rsidRDefault="00894F0E" w:rsidP="004A4A7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</w:tc>
      </w:tr>
      <w:tr w:rsidR="00F00EDA" w:rsidRPr="0041570F" w14:paraId="4D9F1D4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ED8C5AE" w14:textId="2B73B6D1" w:rsidR="00F00EDA" w:rsidRPr="006515B9" w:rsidRDefault="00F00EDA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1.10.1.</w:t>
            </w:r>
          </w:p>
        </w:tc>
        <w:tc>
          <w:tcPr>
            <w:tcW w:w="4269" w:type="dxa"/>
            <w:vAlign w:val="center"/>
          </w:tcPr>
          <w:p w14:paraId="0D249761" w14:textId="71D78F9C" w:rsidR="00F00EDA" w:rsidRPr="006515B9" w:rsidRDefault="00B462B7" w:rsidP="00F00ED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медиатворчества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>, информационных технологий, регионального фестиваля «</w:t>
            </w: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РобоФест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>-НН»</w:t>
            </w:r>
          </w:p>
        </w:tc>
        <w:tc>
          <w:tcPr>
            <w:tcW w:w="3969" w:type="dxa"/>
            <w:vAlign w:val="center"/>
          </w:tcPr>
          <w:p w14:paraId="2B2FEB7C" w14:textId="77777777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Учащиеся общеобразовательных и дошкольных учреждений округа   в 2024 году   приняли участие в следующих мероприятиях:</w:t>
            </w:r>
          </w:p>
          <w:p w14:paraId="6869B130" w14:textId="77777777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 соревнования по запуску воздушного змея – 38 участников;</w:t>
            </w:r>
          </w:p>
          <w:p w14:paraId="39BF60AB" w14:textId="2AE927A5" w:rsidR="006515B9" w:rsidRPr="006515B9" w:rsidRDefault="00ED6932" w:rsidP="006515B9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-м</w:t>
            </w:r>
            <w:r w:rsidR="006515B9" w:rsidRPr="006515B9">
              <w:rPr>
                <w:color w:val="000000" w:themeColor="text1"/>
                <w:sz w:val="16"/>
                <w:szCs w:val="16"/>
              </w:rPr>
              <w:t xml:space="preserve">униципальный конкурс </w:t>
            </w:r>
            <w:proofErr w:type="spellStart"/>
            <w:r w:rsidR="006515B9" w:rsidRPr="006515B9">
              <w:rPr>
                <w:color w:val="000000" w:themeColor="text1"/>
                <w:sz w:val="16"/>
                <w:szCs w:val="16"/>
                <w:lang w:val="en-US"/>
              </w:rPr>
              <w:t>lego</w:t>
            </w:r>
            <w:proofErr w:type="spellEnd"/>
            <w:r w:rsidR="006515B9" w:rsidRPr="006515B9">
              <w:rPr>
                <w:color w:val="000000" w:themeColor="text1"/>
                <w:sz w:val="16"/>
                <w:szCs w:val="16"/>
              </w:rPr>
              <w:t xml:space="preserve">-конструирования </w:t>
            </w:r>
            <w:r>
              <w:rPr>
                <w:color w:val="000000" w:themeColor="text1"/>
                <w:sz w:val="16"/>
                <w:szCs w:val="16"/>
              </w:rPr>
              <w:t>«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Лего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</w:t>
            </w:r>
            <w:r w:rsidR="006515B9" w:rsidRPr="006515B9">
              <w:rPr>
                <w:color w:val="000000" w:themeColor="text1"/>
                <w:sz w:val="16"/>
                <w:szCs w:val="16"/>
              </w:rPr>
              <w:t>творчество» (среди обучающихся объединения «</w:t>
            </w:r>
            <w:proofErr w:type="spellStart"/>
            <w:r w:rsidR="006515B9" w:rsidRPr="006515B9">
              <w:rPr>
                <w:color w:val="000000" w:themeColor="text1"/>
                <w:sz w:val="16"/>
                <w:szCs w:val="16"/>
              </w:rPr>
              <w:t>Информаика</w:t>
            </w:r>
            <w:proofErr w:type="spellEnd"/>
            <w:r w:rsidR="006515B9" w:rsidRPr="006515B9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="006515B9" w:rsidRPr="006515B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6515B9" w:rsidRPr="006515B9">
              <w:rPr>
                <w:color w:val="000000" w:themeColor="text1"/>
                <w:sz w:val="16"/>
                <w:szCs w:val="16"/>
              </w:rPr>
              <w:t>Программирование»)  - 24 участников (4 победителя, 6 призеров), участие во Всероссийском конкурсе для дошкольников – 28 чел.</w:t>
            </w:r>
            <w:proofErr w:type="gramEnd"/>
          </w:p>
          <w:p w14:paraId="7DEC5EFA" w14:textId="77777777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- Всероссийский чемпионат детского </w:t>
            </w: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робототехнческого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 xml:space="preserve"> творчества, номинация «Технический прогресс» - участников 6 чел., 2 призера;</w:t>
            </w:r>
          </w:p>
          <w:p w14:paraId="70049B5F" w14:textId="4DA2C200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  <w:r w:rsidR="00ED693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515B9">
              <w:rPr>
                <w:color w:val="000000" w:themeColor="text1"/>
                <w:sz w:val="16"/>
                <w:szCs w:val="16"/>
              </w:rPr>
              <w:t xml:space="preserve">интеллектуальная олимпиада </w:t>
            </w: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Приволжкого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 xml:space="preserve"> федерального округа среди школьников (по программе «Робототехника») - 20 чел.;</w:t>
            </w:r>
          </w:p>
          <w:p w14:paraId="7BC983C5" w14:textId="77777777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- участие в </w:t>
            </w: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конкукурсе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медиатворчества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 xml:space="preserve">  в рамках </w:t>
            </w:r>
            <w:r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общероссийского общественно-государственного движения «</w:t>
            </w:r>
            <w:r w:rsidRPr="006515B9">
              <w:rPr>
                <w:color w:val="000000" w:themeColor="text1"/>
                <w:sz w:val="16"/>
                <w:szCs w:val="16"/>
              </w:rPr>
              <w:t>Движение первых» - 10 чел.;</w:t>
            </w:r>
          </w:p>
          <w:p w14:paraId="7CD10AEF" w14:textId="77777777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- муниципальный конкурс по </w:t>
            </w: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автомоделированию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 xml:space="preserve"> среди обучающихся технической направленности – 47 </w:t>
            </w: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участников (5 победителей, 18 призеров);</w:t>
            </w:r>
          </w:p>
          <w:p w14:paraId="7A9D6217" w14:textId="77777777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 муниципальный этап Всероссийского конкурса начального технического моделирования и конструирования «Юные техники и изобретатели» - 15 участников, из них 3 победителя, 3 призера;</w:t>
            </w:r>
          </w:p>
          <w:p w14:paraId="02C90285" w14:textId="77777777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- региональный этап Всероссийского научно – технической олимпиады по </w:t>
            </w: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автомоделированию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 xml:space="preserve"> среди учащихся – 4 участника;</w:t>
            </w:r>
          </w:p>
          <w:p w14:paraId="74726D06" w14:textId="77777777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 муниципальная научно-практическая конференция «Путь в науку» — 76 чел.; </w:t>
            </w:r>
          </w:p>
          <w:p w14:paraId="64CD6EAC" w14:textId="77777777" w:rsidR="006515B9" w:rsidRPr="006515B9" w:rsidRDefault="006515B9" w:rsidP="006515B9">
            <w:pPr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 муниципальная научно-практическая конференция «</w:t>
            </w:r>
            <w:proofErr w:type="gramStart"/>
            <w:r w:rsidRPr="006515B9">
              <w:rPr>
                <w:color w:val="000000" w:themeColor="text1"/>
                <w:sz w:val="16"/>
                <w:szCs w:val="16"/>
              </w:rPr>
              <w:t>Я-исследователь</w:t>
            </w:r>
            <w:proofErr w:type="gramEnd"/>
            <w:r w:rsidRPr="006515B9">
              <w:rPr>
                <w:color w:val="000000" w:themeColor="text1"/>
                <w:sz w:val="16"/>
                <w:szCs w:val="16"/>
              </w:rPr>
              <w:t>» — 36 чел.;</w:t>
            </w:r>
          </w:p>
          <w:p w14:paraId="381BB831" w14:textId="0E5F94EE" w:rsidR="006515B9" w:rsidRPr="006515B9" w:rsidRDefault="00ED6932" w:rsidP="006515B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- </w:t>
            </w:r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Межрегиональный дистанционный конкурс по 3D-моделированию «Страна чудес» - участие (1 чел.);</w:t>
            </w:r>
            <w:r w:rsidR="006515B9" w:rsidRPr="006515B9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- </w:t>
            </w:r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Межрегиональный дистанционный конкурс по 3D-моделированию «Подарок Маме в 3D» - участие (1 чел.);</w:t>
            </w:r>
            <w:r w:rsidR="006515B9" w:rsidRPr="006515B9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- </w:t>
            </w:r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Межрегиональный дистанционный конкурс по программированию в среде </w:t>
            </w:r>
            <w:proofErr w:type="spellStart"/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Scratch</w:t>
            </w:r>
            <w:proofErr w:type="spellEnd"/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«Бегущий в лабиринте» - участие (1 чел.);</w:t>
            </w:r>
            <w:r w:rsidR="006515B9" w:rsidRPr="006515B9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- </w:t>
            </w:r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Онлайн-викторина «IT-спецназ»; (региональный) - участие (1 чел.);</w:t>
            </w:r>
            <w:r w:rsidR="006515B9" w:rsidRPr="006515B9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- </w:t>
            </w:r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Онлайн-викторина «Вселенная VR» (региональный) – 4 чел.;</w:t>
            </w:r>
            <w:r w:rsidR="006515B9" w:rsidRPr="006515B9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- </w:t>
            </w:r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Викторина «День рождения mail.ru» (региональный) – 3 место (1 чел.);</w:t>
            </w:r>
            <w:proofErr w:type="gramEnd"/>
            <w:r w:rsidR="006515B9" w:rsidRPr="006515B9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- </w:t>
            </w:r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Всероссийский онлайн-кроссворд «Мир в кадрах», посвященный международному дню анимации - участие (3 чел.);</w:t>
            </w:r>
            <w:r w:rsidR="006515B9" w:rsidRPr="006515B9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- </w:t>
            </w:r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Муниципальный этап интеллектуальной</w:t>
            </w:r>
            <w:r w:rsidR="006515B9" w:rsidRPr="006515B9">
              <w:rPr>
                <w:color w:val="000000" w:themeColor="text1"/>
                <w:sz w:val="16"/>
                <w:szCs w:val="16"/>
              </w:rPr>
              <w:br/>
            </w:r>
            <w:r w:rsidR="006515B9" w:rsidRPr="006515B9">
              <w:rPr>
                <w:color w:val="000000" w:themeColor="text1"/>
                <w:sz w:val="16"/>
                <w:szCs w:val="16"/>
                <w:shd w:val="clear" w:color="auto" w:fill="FFFFFF"/>
              </w:rPr>
              <w:t>олимпиады Приволжского федерального округа среди школьников по направлению «Робототехника» - участие (3 чел.).</w:t>
            </w:r>
          </w:p>
          <w:p w14:paraId="4FD01EC2" w14:textId="1A76055F" w:rsidR="00F00EDA" w:rsidRPr="006515B9" w:rsidRDefault="006515B9" w:rsidP="006515B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Всего приняли участие в мероприятиях 367 человек, что выше уровня 2023 года (322 чел.)</w:t>
            </w:r>
          </w:p>
        </w:tc>
        <w:tc>
          <w:tcPr>
            <w:tcW w:w="3402" w:type="dxa"/>
            <w:vAlign w:val="center"/>
          </w:tcPr>
          <w:p w14:paraId="7E38CCFE" w14:textId="6F9E006A" w:rsidR="00F00EDA" w:rsidRPr="006515B9" w:rsidRDefault="00B462B7" w:rsidP="00F00ED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023" w:type="dxa"/>
            <w:vAlign w:val="center"/>
          </w:tcPr>
          <w:p w14:paraId="186C2772" w14:textId="09A6B4EE" w:rsidR="00F00EDA" w:rsidRPr="006515B9" w:rsidRDefault="00B462B7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1944" w:type="dxa"/>
            <w:vAlign w:val="center"/>
          </w:tcPr>
          <w:p w14:paraId="641D2847" w14:textId="37A3E4E0" w:rsidR="00F00EDA" w:rsidRPr="006515B9" w:rsidRDefault="007F55F7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367</w:t>
            </w:r>
          </w:p>
        </w:tc>
      </w:tr>
      <w:tr w:rsidR="002463ED" w:rsidRPr="0041570F" w14:paraId="57BF429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04A7FB" w14:textId="2D2BFA48" w:rsidR="002463ED" w:rsidRPr="006515B9" w:rsidRDefault="002463ED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1.11.1.</w:t>
            </w:r>
          </w:p>
        </w:tc>
        <w:tc>
          <w:tcPr>
            <w:tcW w:w="4269" w:type="dxa"/>
            <w:vAlign w:val="center"/>
          </w:tcPr>
          <w:p w14:paraId="39AD1C67" w14:textId="69B1AFF7" w:rsidR="002463ED" w:rsidRPr="006515B9" w:rsidRDefault="00A27B25" w:rsidP="00F00ED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3969" w:type="dxa"/>
            <w:vAlign w:val="center"/>
          </w:tcPr>
          <w:p w14:paraId="3BAC02CD" w14:textId="77777777" w:rsidR="00894F0E" w:rsidRPr="00894F0E" w:rsidRDefault="00894F0E" w:rsidP="00894F0E">
            <w:pPr>
              <w:rPr>
                <w:bCs/>
                <w:sz w:val="16"/>
                <w:szCs w:val="16"/>
              </w:rPr>
            </w:pPr>
            <w:r w:rsidRPr="00894F0E">
              <w:rPr>
                <w:bCs/>
                <w:sz w:val="16"/>
                <w:szCs w:val="16"/>
              </w:rPr>
              <w:t xml:space="preserve">Информация о реализации муниципального имущества  (аукционы по продаже или предоставлению имущества в аренду) размещалась на сайтах администрации Володарского муниципального округа   https://volodarsk.nobl.ru/activity/22341/    и  на сайте </w:t>
            </w:r>
            <w:hyperlink r:id="rId10" w:history="1">
              <w:r w:rsidRPr="00894F0E">
                <w:rPr>
                  <w:bCs/>
                  <w:sz w:val="16"/>
                  <w:szCs w:val="16"/>
                </w:rPr>
                <w:t>https://torgi.gov.ru/</w:t>
              </w:r>
            </w:hyperlink>
            <w:r w:rsidRPr="00894F0E">
              <w:rPr>
                <w:bCs/>
                <w:sz w:val="16"/>
                <w:szCs w:val="16"/>
              </w:rPr>
              <w:t>и в ГИС Торги: 10 лотов по имуществу и 15  сообщений  по земельным участкам.</w:t>
            </w:r>
          </w:p>
          <w:p w14:paraId="41277B8D" w14:textId="50F43DA0" w:rsidR="002463ED" w:rsidRPr="006515B9" w:rsidRDefault="00894F0E" w:rsidP="00894F0E">
            <w:pPr>
              <w:jc w:val="both"/>
              <w:rPr>
                <w:i/>
                <w:color w:val="7030A0"/>
                <w:sz w:val="16"/>
                <w:szCs w:val="16"/>
              </w:rPr>
            </w:pPr>
            <w:r w:rsidRPr="00894F0E">
              <w:rPr>
                <w:bCs/>
                <w:sz w:val="16"/>
                <w:szCs w:val="16"/>
              </w:rPr>
              <w:t xml:space="preserve">Кроме того, в районной газете «Знамя» размещаются информационные сообщения о продаже  и о  </w:t>
            </w:r>
            <w:r w:rsidRPr="00894F0E">
              <w:rPr>
                <w:bCs/>
                <w:sz w:val="16"/>
                <w:szCs w:val="16"/>
              </w:rPr>
              <w:lastRenderedPageBreak/>
              <w:t>предоставлении  в аренду земельных участков:  – 9 сообщения.</w:t>
            </w:r>
          </w:p>
        </w:tc>
        <w:tc>
          <w:tcPr>
            <w:tcW w:w="3402" w:type="dxa"/>
            <w:vAlign w:val="center"/>
          </w:tcPr>
          <w:p w14:paraId="22BBABCA" w14:textId="4127C241" w:rsidR="002463ED" w:rsidRPr="006515B9" w:rsidRDefault="00A27B25" w:rsidP="00F00ED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23" w:type="dxa"/>
            <w:vAlign w:val="center"/>
          </w:tcPr>
          <w:p w14:paraId="14BA1683" w14:textId="0C8131DD" w:rsidR="002463ED" w:rsidRPr="006515B9" w:rsidRDefault="008C66CB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41FE66EC" w14:textId="5362B3D1" w:rsidR="002463ED" w:rsidRPr="006515B9" w:rsidRDefault="008C66CB" w:rsidP="00F00E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51805" w:rsidRPr="0041570F" w14:paraId="6A88A1D1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9F929E9" w14:textId="180F0542" w:rsidR="00151805" w:rsidRPr="006515B9" w:rsidRDefault="00151805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1.11.3.</w:t>
            </w:r>
          </w:p>
        </w:tc>
        <w:tc>
          <w:tcPr>
            <w:tcW w:w="4269" w:type="dxa"/>
          </w:tcPr>
          <w:p w14:paraId="56C9970D" w14:textId="0106A811" w:rsidR="00151805" w:rsidRPr="006515B9" w:rsidRDefault="00151805" w:rsidP="001518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3969" w:type="dxa"/>
            <w:vAlign w:val="center"/>
          </w:tcPr>
          <w:p w14:paraId="0EB4AB89" w14:textId="25FF332C" w:rsidR="00151805" w:rsidRPr="00FF494D" w:rsidRDefault="00FF494D" w:rsidP="00151805">
            <w:pPr>
              <w:jc w:val="both"/>
              <w:rPr>
                <w:color w:val="7030A0"/>
                <w:sz w:val="16"/>
                <w:szCs w:val="16"/>
              </w:rPr>
            </w:pPr>
            <w:r w:rsidRPr="00FF494D">
              <w:rPr>
                <w:sz w:val="16"/>
                <w:szCs w:val="16"/>
              </w:rPr>
              <w:t xml:space="preserve">Реестры </w:t>
            </w:r>
            <w:r w:rsidRPr="00FF494D">
              <w:rPr>
                <w:bCs/>
                <w:sz w:val="16"/>
                <w:szCs w:val="16"/>
              </w:rPr>
              <w:t>муниципальной собственности размещены на сайте администрации Володарского муниципального округа</w:t>
            </w:r>
            <w:r>
              <w:rPr>
                <w:bCs/>
                <w:sz w:val="16"/>
                <w:szCs w:val="16"/>
              </w:rPr>
              <w:t xml:space="preserve"> </w:t>
            </w:r>
            <w:hyperlink r:id="rId11" w:history="1">
              <w:r w:rsidRPr="00FF494D">
                <w:rPr>
                  <w:rStyle w:val="af0"/>
                  <w:bCs/>
                  <w:color w:val="000000" w:themeColor="text1"/>
                  <w:sz w:val="16"/>
                  <w:szCs w:val="16"/>
                  <w:u w:val="none"/>
                </w:rPr>
                <w:t>https://volodarsk.nobl.ru/activity/8992/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FF494D">
              <w:rPr>
                <w:bCs/>
                <w:sz w:val="16"/>
                <w:szCs w:val="16"/>
              </w:rPr>
              <w:t xml:space="preserve">по состоянию на 11.01.2024года,  на 10.04.2024 год, на 01.07.2024 года, на 01.09.2024. </w:t>
            </w:r>
            <w:proofErr w:type="gramStart"/>
            <w:r w:rsidRPr="00FF494D">
              <w:rPr>
                <w:bCs/>
                <w:sz w:val="16"/>
                <w:szCs w:val="16"/>
              </w:rPr>
              <w:t>Отдельно перечень недвижимого имущества (ОКС, здания, помещения), отдельно перечень земельных участков)</w:t>
            </w:r>
            <w:r>
              <w:rPr>
                <w:bCs/>
                <w:sz w:val="16"/>
                <w:szCs w:val="16"/>
              </w:rPr>
              <w:t>.</w:t>
            </w:r>
            <w:proofErr w:type="gramEnd"/>
          </w:p>
        </w:tc>
        <w:tc>
          <w:tcPr>
            <w:tcW w:w="3402" w:type="dxa"/>
            <w:vAlign w:val="center"/>
          </w:tcPr>
          <w:p w14:paraId="44256A21" w14:textId="69232DAE" w:rsidR="00151805" w:rsidRPr="006515B9" w:rsidRDefault="00151805" w:rsidP="001518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23" w:type="dxa"/>
            <w:vAlign w:val="center"/>
          </w:tcPr>
          <w:p w14:paraId="6A655924" w14:textId="2ED7387B" w:rsidR="00151805" w:rsidRPr="006515B9" w:rsidRDefault="008C66CB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4D199C29" w14:textId="119E99DB" w:rsidR="00151805" w:rsidRPr="006515B9" w:rsidRDefault="008C66CB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51805" w:rsidRPr="0041570F" w14:paraId="32392C2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686130C" w14:textId="23F303B0" w:rsidR="00151805" w:rsidRPr="006515B9" w:rsidRDefault="0015180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1.11.5.</w:t>
            </w:r>
          </w:p>
        </w:tc>
        <w:tc>
          <w:tcPr>
            <w:tcW w:w="4269" w:type="dxa"/>
          </w:tcPr>
          <w:p w14:paraId="4095A148" w14:textId="7FF73634" w:rsidR="00151805" w:rsidRPr="006515B9" w:rsidRDefault="00151805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969" w:type="dxa"/>
            <w:vAlign w:val="center"/>
          </w:tcPr>
          <w:p w14:paraId="47590C8A" w14:textId="45A297D2" w:rsidR="00151805" w:rsidRPr="005914E4" w:rsidRDefault="005914E4" w:rsidP="005914E4">
            <w:pPr>
              <w:rPr>
                <w:bCs/>
                <w:sz w:val="16"/>
                <w:szCs w:val="16"/>
              </w:rPr>
            </w:pPr>
            <w:proofErr w:type="gramStart"/>
            <w:r w:rsidRPr="005914E4">
              <w:rPr>
                <w:bCs/>
                <w:sz w:val="16"/>
                <w:szCs w:val="16"/>
              </w:rPr>
              <w:t>Постановлением администрации Володарского муниципального округа  от 19.06.2024 года № 2161 «О внесении изменений в постановление от 23.06.2023г. №1768  «Об утверждении перечня муниципального имущества Володарского муниципального округа, свободного от прав третьих лиц, которое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организация, образующим инфраструктуру поддержки субъектов малого</w:t>
            </w:r>
            <w:proofErr w:type="gramEnd"/>
            <w:r w:rsidRPr="005914E4">
              <w:rPr>
                <w:bCs/>
                <w:sz w:val="16"/>
                <w:szCs w:val="16"/>
              </w:rPr>
              <w:t xml:space="preserve"> и среднего предпринимательства» внесены изменения в перечень муниципального имущества. В измененный перечень включено 29 объектов. 15 объектов предоставлено СМП. На сайте администрации округа перечень размещен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914E4">
              <w:rPr>
                <w:sz w:val="16"/>
                <w:szCs w:val="16"/>
              </w:rPr>
              <w:t>https://volodarsk.nobl.ru/activity/29659/.</w:t>
            </w:r>
            <w:r w:rsidRPr="00B363A8">
              <w:rPr>
                <w:sz w:val="17"/>
                <w:szCs w:val="17"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3E42EB9D" w14:textId="2BA9FB0C" w:rsidR="00151805" w:rsidRPr="006515B9" w:rsidRDefault="00151805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23" w:type="dxa"/>
            <w:vAlign w:val="center"/>
          </w:tcPr>
          <w:p w14:paraId="2855CBF0" w14:textId="3CDE78BF" w:rsidR="00151805" w:rsidRPr="006515B9" w:rsidRDefault="008C66CB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7E7D9139" w14:textId="3DCAF9A0" w:rsidR="00151805" w:rsidRPr="006515B9" w:rsidRDefault="008C66CB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51805" w:rsidRPr="0041570F" w14:paraId="3913D3E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23A3CFD" w14:textId="606A18EE" w:rsidR="00151805" w:rsidRPr="006515B9" w:rsidRDefault="008C66CB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1.27.1.</w:t>
            </w:r>
          </w:p>
        </w:tc>
        <w:tc>
          <w:tcPr>
            <w:tcW w:w="4269" w:type="dxa"/>
            <w:vAlign w:val="center"/>
          </w:tcPr>
          <w:p w14:paraId="0F425DED" w14:textId="31146FE8" w:rsidR="00151805" w:rsidRPr="006515B9" w:rsidRDefault="008C66CB" w:rsidP="001518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3969" w:type="dxa"/>
            <w:vAlign w:val="center"/>
          </w:tcPr>
          <w:p w14:paraId="001A006E" w14:textId="3F4639E5" w:rsidR="00151805" w:rsidRPr="00472FAA" w:rsidRDefault="00472FAA" w:rsidP="008C66CB">
            <w:pPr>
              <w:jc w:val="both"/>
              <w:rPr>
                <w:iCs/>
                <w:color w:val="7030A0"/>
                <w:sz w:val="16"/>
                <w:szCs w:val="16"/>
              </w:rPr>
            </w:pPr>
            <w:r w:rsidRPr="00472FAA">
              <w:rPr>
                <w:iCs/>
                <w:color w:val="000000" w:themeColor="text1"/>
                <w:sz w:val="16"/>
                <w:szCs w:val="16"/>
              </w:rPr>
              <w:t>Негосударственные организации, реализующие программы дошкольного, общего и среднего профессионального образования, в Володарском муниципальном округе отсутствуют. В связи с этим предложения по расширению видов поддержки не направлялись.</w:t>
            </w:r>
          </w:p>
        </w:tc>
        <w:tc>
          <w:tcPr>
            <w:tcW w:w="3402" w:type="dxa"/>
            <w:vAlign w:val="center"/>
          </w:tcPr>
          <w:p w14:paraId="008F3057" w14:textId="4800FA50" w:rsidR="00151805" w:rsidRPr="006515B9" w:rsidRDefault="008C66CB" w:rsidP="001518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03E2BD0" w14:textId="688FA680" w:rsidR="00151805" w:rsidRPr="006515B9" w:rsidRDefault="008C66CB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3C2380E0" w14:textId="69F37BBA" w:rsidR="00151805" w:rsidRPr="006515B9" w:rsidRDefault="008C66CB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2554C" w:rsidRPr="0041570F" w14:paraId="60BF711D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A54B8A4" w14:textId="27160965" w:rsidR="0002554C" w:rsidRPr="006515B9" w:rsidRDefault="0002554C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1.27.</w:t>
            </w:r>
            <w:r w:rsidR="00BB07EB" w:rsidRPr="006515B9">
              <w:rPr>
                <w:color w:val="000000" w:themeColor="text1"/>
                <w:sz w:val="16"/>
                <w:szCs w:val="16"/>
              </w:rPr>
              <w:t>2</w:t>
            </w:r>
            <w:r w:rsidRPr="006515B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269" w:type="dxa"/>
            <w:vAlign w:val="center"/>
          </w:tcPr>
          <w:p w14:paraId="1F3C766C" w14:textId="440C95B7" w:rsidR="0002554C" w:rsidRPr="006515B9" w:rsidRDefault="0002554C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3969" w:type="dxa"/>
            <w:vAlign w:val="center"/>
          </w:tcPr>
          <w:p w14:paraId="6D97D709" w14:textId="3CE5A8F4" w:rsidR="0002554C" w:rsidRPr="00DB16BB" w:rsidRDefault="00DB16BB" w:rsidP="00115D5A">
            <w:pPr>
              <w:jc w:val="both"/>
              <w:rPr>
                <w:iCs/>
                <w:color w:val="7030A0"/>
                <w:sz w:val="16"/>
                <w:szCs w:val="16"/>
              </w:rPr>
            </w:pPr>
            <w:r>
              <w:rPr>
                <w:iCs/>
                <w:color w:val="000000" w:themeColor="text1"/>
                <w:sz w:val="16"/>
                <w:szCs w:val="16"/>
              </w:rPr>
              <w:t>Реестр н</w:t>
            </w:r>
            <w:r w:rsidRPr="00DB16BB">
              <w:rPr>
                <w:iCs/>
                <w:color w:val="000000" w:themeColor="text1"/>
                <w:sz w:val="16"/>
                <w:szCs w:val="16"/>
              </w:rPr>
              <w:t>е ведется, муниципальные преференции не предоставлялись</w:t>
            </w:r>
            <w:r>
              <w:rPr>
                <w:i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402" w:type="dxa"/>
            <w:vAlign w:val="center"/>
          </w:tcPr>
          <w:p w14:paraId="7521713F" w14:textId="77777777" w:rsidR="0002554C" w:rsidRPr="006515B9" w:rsidRDefault="0002554C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F027D31" w14:textId="77777777" w:rsidR="0002554C" w:rsidRPr="006515B9" w:rsidRDefault="0002554C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3D898BA8" w14:textId="77777777" w:rsidR="0002554C" w:rsidRPr="006515B9" w:rsidRDefault="0002554C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2554C" w:rsidRPr="0041570F" w14:paraId="7B28D06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BAFBCDB" w14:textId="1318CD64" w:rsidR="0002554C" w:rsidRPr="006515B9" w:rsidRDefault="0002554C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1.27.3.</w:t>
            </w:r>
          </w:p>
        </w:tc>
        <w:tc>
          <w:tcPr>
            <w:tcW w:w="4269" w:type="dxa"/>
            <w:vAlign w:val="center"/>
          </w:tcPr>
          <w:p w14:paraId="7FED039B" w14:textId="690902A4" w:rsidR="0002554C" w:rsidRPr="006515B9" w:rsidRDefault="00FA018B" w:rsidP="001518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</w:t>
            </w:r>
            <w:proofErr w:type="gramStart"/>
            <w:r w:rsidRPr="006515B9">
              <w:rPr>
                <w:color w:val="000000" w:themeColor="text1"/>
                <w:sz w:val="16"/>
                <w:szCs w:val="16"/>
              </w:rPr>
              <w:t>ст в гр</w:t>
            </w:r>
            <w:proofErr w:type="gramEnd"/>
            <w:r w:rsidRPr="006515B9">
              <w:rPr>
                <w:color w:val="000000" w:themeColor="text1"/>
                <w:sz w:val="16"/>
                <w:szCs w:val="16"/>
              </w:rPr>
              <w:t>уппах кратковременного пребывания детей</w:t>
            </w:r>
          </w:p>
        </w:tc>
        <w:tc>
          <w:tcPr>
            <w:tcW w:w="3969" w:type="dxa"/>
            <w:vAlign w:val="center"/>
          </w:tcPr>
          <w:p w14:paraId="42B060A6" w14:textId="6387955A" w:rsidR="00DB16BB" w:rsidRPr="00DB16BB" w:rsidRDefault="00DB16BB" w:rsidP="008C66CB">
            <w:pPr>
              <w:jc w:val="both"/>
              <w:rPr>
                <w:sz w:val="16"/>
                <w:szCs w:val="16"/>
              </w:rPr>
            </w:pPr>
            <w:r w:rsidRPr="00DB16BB">
              <w:rPr>
                <w:sz w:val="16"/>
                <w:szCs w:val="16"/>
              </w:rPr>
              <w:t xml:space="preserve">Негосударственные организации, оказывающие услуги дошкольного образования детей, на территории Володарского муниципального округа отсутствуют. Выполнение мероприятия в соответствии с муниципальным планом запланировано на 2025 год при наличии негосударственных образовательных организаций. В 2024 году создание данных организаций не планировалось. Необходимость создания  </w:t>
            </w:r>
            <w:r w:rsidRPr="00DB16BB">
              <w:rPr>
                <w:sz w:val="16"/>
                <w:szCs w:val="16"/>
              </w:rPr>
              <w:lastRenderedPageBreak/>
              <w:t xml:space="preserve">негосударственных образовательных организаций отсутствует в связи с </w:t>
            </w:r>
            <w:r>
              <w:rPr>
                <w:sz w:val="16"/>
                <w:szCs w:val="16"/>
              </w:rPr>
              <w:t>не</w:t>
            </w:r>
            <w:r w:rsidRPr="00DB16BB">
              <w:rPr>
                <w:sz w:val="16"/>
                <w:szCs w:val="16"/>
              </w:rPr>
              <w:t>востребованностью родителями (законными представителям)  организаций частной формы собственности, оказывающих образовательные услуги в сфере дошкольного образования. В Володарском округе отсутствуют субъекты малого предпринимательства, реализующие основные общеобразовательные программы, образовательные программы дошкольного образования.</w:t>
            </w:r>
          </w:p>
        </w:tc>
        <w:tc>
          <w:tcPr>
            <w:tcW w:w="3402" w:type="dxa"/>
            <w:vAlign w:val="center"/>
          </w:tcPr>
          <w:p w14:paraId="03788638" w14:textId="36D71AE2" w:rsidR="0002554C" w:rsidRPr="006515B9" w:rsidRDefault="00FA018B" w:rsidP="001518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Нормативный правовой акт / программа мероприятий (при необходимости)</w:t>
            </w:r>
          </w:p>
        </w:tc>
        <w:tc>
          <w:tcPr>
            <w:tcW w:w="1023" w:type="dxa"/>
            <w:vAlign w:val="center"/>
          </w:tcPr>
          <w:p w14:paraId="41C1B184" w14:textId="752F1675" w:rsidR="0002554C" w:rsidRPr="006515B9" w:rsidRDefault="00FA018B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3EC3DE02" w14:textId="2A7D75D9" w:rsidR="0002554C" w:rsidRPr="006515B9" w:rsidRDefault="00FA018B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51805" w:rsidRPr="0041570F" w14:paraId="4B535B1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0F6285" w14:textId="5D683A87" w:rsidR="00151805" w:rsidRPr="006515B9" w:rsidRDefault="00151805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1.28.2.</w:t>
            </w:r>
          </w:p>
        </w:tc>
        <w:tc>
          <w:tcPr>
            <w:tcW w:w="4269" w:type="dxa"/>
            <w:vAlign w:val="center"/>
          </w:tcPr>
          <w:p w14:paraId="1543429D" w14:textId="03E5CF22" w:rsidR="00151805" w:rsidRPr="006515B9" w:rsidRDefault="00FA018B" w:rsidP="001518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Внесение изменений в муниципальные схемы размещения </w:t>
            </w:r>
            <w:r w:rsidR="006E4AAB" w:rsidRPr="006515B9">
              <w:rPr>
                <w:color w:val="000000" w:themeColor="text1"/>
                <w:sz w:val="16"/>
                <w:szCs w:val="16"/>
              </w:rPr>
              <w:t xml:space="preserve">нестационарных торговых объектов (далее – </w:t>
            </w:r>
            <w:r w:rsidRPr="006515B9">
              <w:rPr>
                <w:color w:val="000000" w:themeColor="text1"/>
                <w:sz w:val="16"/>
                <w:szCs w:val="16"/>
              </w:rPr>
              <w:t>НТО</w:t>
            </w:r>
            <w:r w:rsidR="006E4AAB" w:rsidRPr="006515B9">
              <w:rPr>
                <w:color w:val="000000" w:themeColor="text1"/>
                <w:sz w:val="16"/>
                <w:szCs w:val="16"/>
              </w:rPr>
              <w:t>) (расширение перечня объектов)</w:t>
            </w:r>
          </w:p>
        </w:tc>
        <w:tc>
          <w:tcPr>
            <w:tcW w:w="3969" w:type="dxa"/>
            <w:vAlign w:val="center"/>
          </w:tcPr>
          <w:p w14:paraId="505F40A6" w14:textId="6CF899A1" w:rsidR="001345DA" w:rsidRPr="001345DA" w:rsidRDefault="00D2469B" w:rsidP="00D2469B">
            <w:pPr>
              <w:jc w:val="both"/>
              <w:rPr>
                <w:color w:val="7030A0"/>
                <w:sz w:val="16"/>
                <w:szCs w:val="16"/>
              </w:rPr>
            </w:pPr>
            <w:r w:rsidRPr="001345DA">
              <w:rPr>
                <w:sz w:val="16"/>
                <w:szCs w:val="16"/>
              </w:rPr>
              <w:t xml:space="preserve">Постановлением администрации Володарского муниципального округа от 17.04.2023г.  №982  утверждена схема размещения НТО, в которой предусмотрено размещение 78 торговых объектов с учетом   изменений.  Всего в 2024 году внесено 3 изменение  в части увеличения  количества объектов.  Заключено 28 договоров с индивидуальными предпринимателями на право размещения НТО, в том </w:t>
            </w:r>
            <w:r w:rsidR="00AC0CD5" w:rsidRPr="001345DA">
              <w:rPr>
                <w:sz w:val="16"/>
                <w:szCs w:val="16"/>
              </w:rPr>
              <w:t>числе 7</w:t>
            </w:r>
            <w:r w:rsidRPr="001345DA">
              <w:rPr>
                <w:sz w:val="16"/>
                <w:szCs w:val="16"/>
              </w:rPr>
              <w:t xml:space="preserve"> договора в 2024 году</w:t>
            </w:r>
            <w:r w:rsidR="00AC0CD5" w:rsidRPr="001345DA">
              <w:rPr>
                <w:sz w:val="16"/>
                <w:szCs w:val="16"/>
              </w:rPr>
              <w:t>, выдано 25</w:t>
            </w:r>
            <w:r w:rsidRPr="001345DA">
              <w:rPr>
                <w:sz w:val="16"/>
                <w:szCs w:val="16"/>
              </w:rPr>
              <w:t xml:space="preserve"> разрешений на временное (сезонное) размещение НТО. Всего предоставлено </w:t>
            </w:r>
            <w:r w:rsidR="00FE23B5" w:rsidRPr="001345DA">
              <w:rPr>
                <w:sz w:val="16"/>
                <w:szCs w:val="16"/>
              </w:rPr>
              <w:t>мест для размещения  НТО  68</w:t>
            </w:r>
            <w:r w:rsidRPr="001345DA">
              <w:rPr>
                <w:sz w:val="16"/>
                <w:szCs w:val="16"/>
              </w:rPr>
              <w:t>% .</w:t>
            </w:r>
          </w:p>
        </w:tc>
        <w:tc>
          <w:tcPr>
            <w:tcW w:w="3402" w:type="dxa"/>
            <w:vAlign w:val="center"/>
          </w:tcPr>
          <w:p w14:paraId="7140024F" w14:textId="6750A133" w:rsidR="00151805" w:rsidRPr="006515B9" w:rsidRDefault="00812C97" w:rsidP="001518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023" w:type="dxa"/>
            <w:vAlign w:val="center"/>
          </w:tcPr>
          <w:p w14:paraId="000A1C22" w14:textId="47242AEC" w:rsidR="00151805" w:rsidRPr="006515B9" w:rsidRDefault="00422499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3FA58104" w14:textId="518F8CE7" w:rsidR="00151805" w:rsidRPr="006515B9" w:rsidRDefault="00422499" w:rsidP="001518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551487" w:rsidRPr="0041570F" w14:paraId="32AB016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7A08DD0" w14:textId="73BD8520" w:rsidR="00551487" w:rsidRPr="006515B9" w:rsidRDefault="00551487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1.28.3.</w:t>
            </w:r>
          </w:p>
        </w:tc>
        <w:tc>
          <w:tcPr>
            <w:tcW w:w="4269" w:type="dxa"/>
            <w:vAlign w:val="center"/>
          </w:tcPr>
          <w:p w14:paraId="056D1D36" w14:textId="48CC4418" w:rsidR="00551487" w:rsidRPr="006515B9" w:rsidRDefault="00551487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3969" w:type="dxa"/>
            <w:vAlign w:val="center"/>
          </w:tcPr>
          <w:p w14:paraId="46066062" w14:textId="356DDD59" w:rsidR="00D2469B" w:rsidRPr="001345DA" w:rsidRDefault="00D2469B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345DA">
              <w:rPr>
                <w:sz w:val="16"/>
                <w:szCs w:val="16"/>
              </w:rPr>
              <w:t>Проведены  две ярмарки в рамках празднования Дня города Володарск  и  Х</w:t>
            </w:r>
            <w:proofErr w:type="gramStart"/>
            <w:r w:rsidRPr="001345DA">
              <w:rPr>
                <w:sz w:val="16"/>
                <w:szCs w:val="16"/>
              </w:rPr>
              <w:t>I</w:t>
            </w:r>
            <w:proofErr w:type="gramEnd"/>
            <w:r w:rsidRPr="001345DA">
              <w:rPr>
                <w:sz w:val="16"/>
                <w:szCs w:val="16"/>
              </w:rPr>
              <w:t xml:space="preserve"> Межрегионального фестиваля народной культуры «</w:t>
            </w:r>
            <w:proofErr w:type="spellStart"/>
            <w:r w:rsidRPr="001345DA">
              <w:rPr>
                <w:sz w:val="16"/>
                <w:szCs w:val="16"/>
              </w:rPr>
              <w:t>Фролищенские</w:t>
            </w:r>
            <w:proofErr w:type="spellEnd"/>
            <w:r w:rsidRPr="001345DA">
              <w:rPr>
                <w:sz w:val="16"/>
                <w:szCs w:val="16"/>
              </w:rPr>
              <w:t xml:space="preserve">  </w:t>
            </w:r>
            <w:proofErr w:type="spellStart"/>
            <w:r w:rsidRPr="001345DA">
              <w:rPr>
                <w:sz w:val="16"/>
                <w:szCs w:val="16"/>
              </w:rPr>
              <w:t>гостёбы</w:t>
            </w:r>
            <w:proofErr w:type="spellEnd"/>
            <w:r w:rsidRPr="001345DA">
              <w:rPr>
                <w:sz w:val="16"/>
                <w:szCs w:val="16"/>
              </w:rPr>
              <w:t>». Кроме того,  проведено 161 ярмарка  выходного дня  в поселениях округа</w:t>
            </w:r>
            <w:r w:rsidR="001345DA" w:rsidRPr="001345DA">
              <w:rPr>
                <w:sz w:val="16"/>
                <w:szCs w:val="16"/>
              </w:rPr>
              <w:t>.</w:t>
            </w:r>
          </w:p>
        </w:tc>
        <w:tc>
          <w:tcPr>
            <w:tcW w:w="3402" w:type="dxa"/>
            <w:vAlign w:val="center"/>
          </w:tcPr>
          <w:p w14:paraId="7DAC592D" w14:textId="4E58CDE7" w:rsidR="00551487" w:rsidRPr="006515B9" w:rsidRDefault="00551487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Проведение выставок/ярмарок</w:t>
            </w:r>
          </w:p>
        </w:tc>
        <w:tc>
          <w:tcPr>
            <w:tcW w:w="1023" w:type="dxa"/>
            <w:vAlign w:val="center"/>
          </w:tcPr>
          <w:p w14:paraId="769AFA9C" w14:textId="0B1D6CB6" w:rsidR="00551487" w:rsidRPr="006515B9" w:rsidRDefault="00422499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57E621C9" w14:textId="02E04016" w:rsidR="00551487" w:rsidRPr="006515B9" w:rsidRDefault="00422499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24CC1" w:rsidRPr="0041570F" w14:paraId="45CF054C" w14:textId="77777777" w:rsidTr="006E4AAB">
        <w:trPr>
          <w:gridAfter w:val="1"/>
          <w:wAfter w:w="8" w:type="dxa"/>
        </w:trPr>
        <w:tc>
          <w:tcPr>
            <w:tcW w:w="1118" w:type="dxa"/>
          </w:tcPr>
          <w:p w14:paraId="7D1732C8" w14:textId="5C1428C9" w:rsidR="00824CC1" w:rsidRPr="006515B9" w:rsidRDefault="00824CC1" w:rsidP="00824CC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515B9">
              <w:rPr>
                <w:b/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640" w:type="dxa"/>
            <w:gridSpan w:val="3"/>
          </w:tcPr>
          <w:p w14:paraId="5A683544" w14:textId="235C0446" w:rsidR="00824CC1" w:rsidRPr="006515B9" w:rsidRDefault="00824CC1" w:rsidP="00824CC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b/>
                <w:bCs/>
                <w:color w:val="000000" w:themeColor="text1"/>
                <w:sz w:val="16"/>
                <w:szCs w:val="16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23" w:type="dxa"/>
            <w:vAlign w:val="center"/>
          </w:tcPr>
          <w:p w14:paraId="6AD052E2" w14:textId="77777777" w:rsidR="00824CC1" w:rsidRPr="006515B9" w:rsidRDefault="00824CC1" w:rsidP="00824C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4" w:type="dxa"/>
            <w:vAlign w:val="center"/>
          </w:tcPr>
          <w:p w14:paraId="5508987E" w14:textId="77777777" w:rsidR="00824CC1" w:rsidRPr="006515B9" w:rsidRDefault="00824CC1" w:rsidP="00824CC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0466" w:rsidRPr="00824CC1" w14:paraId="6686EB9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EA5BB77" w14:textId="6D234911" w:rsidR="00500466" w:rsidRPr="006515B9" w:rsidRDefault="00500466" w:rsidP="0055148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515B9">
              <w:rPr>
                <w:b/>
                <w:bCs/>
                <w:color w:val="000000" w:themeColor="text1"/>
                <w:sz w:val="16"/>
                <w:szCs w:val="16"/>
              </w:rPr>
              <w:t>2.10.</w:t>
            </w:r>
          </w:p>
        </w:tc>
        <w:tc>
          <w:tcPr>
            <w:tcW w:w="11640" w:type="dxa"/>
            <w:gridSpan w:val="3"/>
            <w:vAlign w:val="center"/>
          </w:tcPr>
          <w:p w14:paraId="1F730A35" w14:textId="5A9EA75E" w:rsidR="00500466" w:rsidRPr="006515B9" w:rsidRDefault="00500466" w:rsidP="00551487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515B9">
              <w:rPr>
                <w:b/>
                <w:bCs/>
                <w:color w:val="000000" w:themeColor="text1"/>
                <w:sz w:val="16"/>
                <w:szCs w:val="16"/>
              </w:rPr>
              <w:t>Рынок ритуальных услуг</w:t>
            </w:r>
          </w:p>
        </w:tc>
        <w:tc>
          <w:tcPr>
            <w:tcW w:w="1023" w:type="dxa"/>
            <w:vAlign w:val="center"/>
          </w:tcPr>
          <w:p w14:paraId="1B5B5EC9" w14:textId="77777777" w:rsidR="00500466" w:rsidRPr="006515B9" w:rsidRDefault="00500466" w:rsidP="0055148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44" w:type="dxa"/>
            <w:vAlign w:val="center"/>
          </w:tcPr>
          <w:p w14:paraId="1B4FFC18" w14:textId="77777777" w:rsidR="00500466" w:rsidRPr="006515B9" w:rsidRDefault="00500466" w:rsidP="0055148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22499" w:rsidRPr="0041570F" w14:paraId="6C193B68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FB12279" w14:textId="65E9E75F" w:rsidR="00422499" w:rsidRPr="006515B9" w:rsidRDefault="00422499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2.10.2.</w:t>
            </w:r>
          </w:p>
        </w:tc>
        <w:tc>
          <w:tcPr>
            <w:tcW w:w="4269" w:type="dxa"/>
            <w:vAlign w:val="center"/>
          </w:tcPr>
          <w:p w14:paraId="39845AF8" w14:textId="4F0835EF" w:rsidR="00422499" w:rsidRPr="006515B9" w:rsidRDefault="00422499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Проведение инвентаризации действующих мест погребения</w:t>
            </w:r>
          </w:p>
        </w:tc>
        <w:tc>
          <w:tcPr>
            <w:tcW w:w="3969" w:type="dxa"/>
            <w:vAlign w:val="center"/>
          </w:tcPr>
          <w:p w14:paraId="25A29BDC" w14:textId="68D50E53" w:rsidR="00422499" w:rsidRPr="00E43400" w:rsidRDefault="00B86875" w:rsidP="00AC0CD5">
            <w:pPr>
              <w:jc w:val="both"/>
              <w:rPr>
                <w:color w:val="7030A0"/>
                <w:sz w:val="16"/>
                <w:szCs w:val="16"/>
              </w:rPr>
            </w:pPr>
            <w:r w:rsidRPr="00E43400">
              <w:rPr>
                <w:sz w:val="16"/>
                <w:szCs w:val="16"/>
              </w:rPr>
              <w:t>На территории Володарского муниципального округа места захоронения расположены в 12 населенных пунктах. Общее количество мест захоронения – 18 единиц, из них 9 – открытых и 9 закрытых. Всего оформлено право м</w:t>
            </w:r>
            <w:r w:rsidR="00AC0CD5" w:rsidRPr="00E43400">
              <w:rPr>
                <w:sz w:val="16"/>
                <w:szCs w:val="16"/>
              </w:rPr>
              <w:t>униципальной собственности на  9</w:t>
            </w:r>
            <w:r w:rsidRPr="00E43400">
              <w:rPr>
                <w:sz w:val="16"/>
                <w:szCs w:val="16"/>
              </w:rPr>
              <w:t xml:space="preserve"> земельных участков под размещение кладбищ. В реестр кладбищ, расположенных на территории Нижегородской области, включены </w:t>
            </w:r>
            <w:r w:rsidR="00AC0CD5" w:rsidRPr="00E43400">
              <w:rPr>
                <w:sz w:val="16"/>
                <w:szCs w:val="16"/>
              </w:rPr>
              <w:t>9</w:t>
            </w:r>
            <w:r w:rsidRPr="00E43400">
              <w:rPr>
                <w:sz w:val="16"/>
                <w:szCs w:val="16"/>
              </w:rPr>
              <w:t xml:space="preserve"> оформленных кладбищ.  Одной из основных проблем при оформлении земельных участков – это расположение существующих мест захоронений на землях Министерства обороны РФ.  Поселениями  произведен частично учет захоронений, выявлены неблагополучные брошенные захоронения.  </w:t>
            </w:r>
          </w:p>
        </w:tc>
        <w:tc>
          <w:tcPr>
            <w:tcW w:w="3402" w:type="dxa"/>
            <w:vAlign w:val="center"/>
          </w:tcPr>
          <w:p w14:paraId="6A421080" w14:textId="34ED56D9" w:rsidR="00422499" w:rsidRPr="006515B9" w:rsidRDefault="00422499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Постановление Правительства Нижегородской области от 14 октября 2020 г. № 846</w:t>
            </w:r>
          </w:p>
        </w:tc>
        <w:tc>
          <w:tcPr>
            <w:tcW w:w="1023" w:type="dxa"/>
            <w:vAlign w:val="center"/>
          </w:tcPr>
          <w:p w14:paraId="037FE694" w14:textId="42828EA9" w:rsidR="00422499" w:rsidRPr="006515B9" w:rsidRDefault="00422499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5CBD7AB4" w14:textId="4EE520B2" w:rsidR="00422499" w:rsidRPr="006515B9" w:rsidRDefault="00422499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551487" w:rsidRPr="0041570F" w14:paraId="55AE53F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20C4CB4" w14:textId="67A361AF" w:rsidR="00551487" w:rsidRPr="006515B9" w:rsidRDefault="00551487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2.10.3.</w:t>
            </w:r>
          </w:p>
        </w:tc>
        <w:tc>
          <w:tcPr>
            <w:tcW w:w="4269" w:type="dxa"/>
            <w:vAlign w:val="center"/>
          </w:tcPr>
          <w:p w14:paraId="7CE75B5F" w14:textId="3A140A0B" w:rsidR="00551487" w:rsidRPr="006515B9" w:rsidRDefault="00FC125B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Создание справочника сведений (реестра) о кладбищах и </w:t>
            </w: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 xml:space="preserve">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3969" w:type="dxa"/>
            <w:vAlign w:val="center"/>
          </w:tcPr>
          <w:p w14:paraId="52A93E60" w14:textId="4FEF5D4C" w:rsidR="003F2F62" w:rsidRPr="00E43400" w:rsidRDefault="00AC0CD5" w:rsidP="00FC125B">
            <w:pPr>
              <w:jc w:val="both"/>
              <w:rPr>
                <w:iCs/>
                <w:color w:val="7030A0"/>
                <w:sz w:val="16"/>
                <w:szCs w:val="16"/>
              </w:rPr>
            </w:pPr>
            <w:r w:rsidRPr="00E43400">
              <w:rPr>
                <w:sz w:val="16"/>
                <w:szCs w:val="16"/>
              </w:rPr>
              <w:lastRenderedPageBreak/>
              <w:t xml:space="preserve">Всего оформлено право муниципальной </w:t>
            </w:r>
            <w:r w:rsidRPr="00E43400">
              <w:rPr>
                <w:sz w:val="16"/>
                <w:szCs w:val="16"/>
              </w:rPr>
              <w:lastRenderedPageBreak/>
              <w:t xml:space="preserve">собственности на  9 земельных участков под размещение кладбищ.  Направлены сведения по 9 оформленным кладбищам </w:t>
            </w:r>
            <w:proofErr w:type="gramStart"/>
            <w:r w:rsidRPr="00E43400">
              <w:rPr>
                <w:sz w:val="16"/>
                <w:szCs w:val="16"/>
              </w:rPr>
              <w:t>для</w:t>
            </w:r>
            <w:proofErr w:type="gramEnd"/>
            <w:r w:rsidRPr="00E43400">
              <w:rPr>
                <w:sz w:val="16"/>
                <w:szCs w:val="16"/>
              </w:rPr>
              <w:t xml:space="preserve"> включение в  региональный реестр.</w:t>
            </w:r>
          </w:p>
        </w:tc>
        <w:tc>
          <w:tcPr>
            <w:tcW w:w="3402" w:type="dxa"/>
            <w:vAlign w:val="center"/>
          </w:tcPr>
          <w:p w14:paraId="41CAD43F" w14:textId="67B9F871" w:rsidR="00551487" w:rsidRPr="006515B9" w:rsidRDefault="00E677A6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 xml:space="preserve">Нормативный правовой акт (при </w:t>
            </w: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необходимости)</w:t>
            </w:r>
          </w:p>
        </w:tc>
        <w:tc>
          <w:tcPr>
            <w:tcW w:w="1023" w:type="dxa"/>
            <w:vAlign w:val="center"/>
          </w:tcPr>
          <w:p w14:paraId="5197E48F" w14:textId="7C889515" w:rsidR="00551487" w:rsidRPr="006515B9" w:rsidRDefault="0075716C" w:rsidP="0055148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944" w:type="dxa"/>
            <w:vAlign w:val="center"/>
          </w:tcPr>
          <w:p w14:paraId="1D3D59E4" w14:textId="4204EA28" w:rsidR="00551487" w:rsidRPr="006515B9" w:rsidRDefault="00551487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0CD5" w:rsidRPr="0041570F" w14:paraId="475809C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38ADDF3" w14:textId="5F5A30C1" w:rsidR="00AC0CD5" w:rsidRPr="006515B9" w:rsidRDefault="00AC0CD5" w:rsidP="00345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2.10.4.</w:t>
            </w:r>
          </w:p>
        </w:tc>
        <w:tc>
          <w:tcPr>
            <w:tcW w:w="4269" w:type="dxa"/>
            <w:vAlign w:val="center"/>
          </w:tcPr>
          <w:p w14:paraId="1171A399" w14:textId="18C1E25C" w:rsidR="00AC0CD5" w:rsidRPr="006515B9" w:rsidRDefault="00AC0CD5" w:rsidP="0034576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3969" w:type="dxa"/>
            <w:vAlign w:val="center"/>
          </w:tcPr>
          <w:p w14:paraId="4AA3087D" w14:textId="77777777" w:rsidR="00AC0CD5" w:rsidRPr="006515B9" w:rsidRDefault="00AC0CD5" w:rsidP="00115D5A">
            <w:pPr>
              <w:rPr>
                <w:color w:val="000000" w:themeColor="text1"/>
                <w:sz w:val="16"/>
                <w:szCs w:val="16"/>
              </w:rPr>
            </w:pPr>
          </w:p>
          <w:p w14:paraId="4F9DE2C6" w14:textId="1CA79F55" w:rsidR="00AC0CD5" w:rsidRPr="006515B9" w:rsidRDefault="00E93137" w:rsidP="00345767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  <w:r w:rsidRPr="008121D1">
              <w:rPr>
                <w:color w:val="000000" w:themeColor="text1"/>
                <w:sz w:val="16"/>
                <w:szCs w:val="16"/>
              </w:rPr>
              <w:t xml:space="preserve">В 2024 году </w:t>
            </w:r>
            <w:r w:rsidR="00AC0CD5" w:rsidRPr="008121D1">
              <w:rPr>
                <w:color w:val="000000" w:themeColor="text1"/>
                <w:sz w:val="16"/>
                <w:szCs w:val="16"/>
              </w:rPr>
              <w:t>ритуальные услуги предоставляют   3 индивидуальных  предпринимателя (2 ИП зарегистрированы  в Володарском</w:t>
            </w:r>
            <w:r w:rsidR="008121D1">
              <w:rPr>
                <w:color w:val="000000" w:themeColor="text1"/>
                <w:sz w:val="16"/>
                <w:szCs w:val="16"/>
              </w:rPr>
              <w:t xml:space="preserve"> округе, 1 ИП – </w:t>
            </w:r>
            <w:proofErr w:type="spellStart"/>
            <w:r w:rsidR="008121D1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="008121D1">
              <w:rPr>
                <w:color w:val="000000" w:themeColor="text1"/>
                <w:sz w:val="16"/>
                <w:szCs w:val="16"/>
              </w:rPr>
              <w:t>.Д</w:t>
            </w:r>
            <w:proofErr w:type="gramEnd"/>
            <w:r w:rsidR="008121D1">
              <w:rPr>
                <w:color w:val="000000" w:themeColor="text1"/>
                <w:sz w:val="16"/>
                <w:szCs w:val="16"/>
              </w:rPr>
              <w:t>зержинск</w:t>
            </w:r>
            <w:proofErr w:type="spellEnd"/>
            <w:r w:rsidR="008121D1">
              <w:rPr>
                <w:color w:val="000000" w:themeColor="text1"/>
                <w:sz w:val="16"/>
                <w:szCs w:val="16"/>
              </w:rPr>
              <w:t xml:space="preserve">). </w:t>
            </w:r>
            <w:r w:rsidR="00AC0CD5" w:rsidRPr="008121D1">
              <w:rPr>
                <w:color w:val="000000" w:themeColor="text1"/>
                <w:sz w:val="16"/>
                <w:szCs w:val="16"/>
              </w:rPr>
              <w:t>Информация на региональном портале государственных и муниципальных услуг не размещалась</w:t>
            </w:r>
          </w:p>
        </w:tc>
        <w:tc>
          <w:tcPr>
            <w:tcW w:w="3402" w:type="dxa"/>
            <w:vAlign w:val="center"/>
          </w:tcPr>
          <w:p w14:paraId="771196A0" w14:textId="1D19DB7D" w:rsidR="00AC0CD5" w:rsidRPr="006515B9" w:rsidRDefault="00AC0CD5" w:rsidP="0034576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8CC6A03" w14:textId="04061B90" w:rsidR="00AC0CD5" w:rsidRPr="006515B9" w:rsidRDefault="00AC0CD5" w:rsidP="00345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550BF8E3" w14:textId="28DD0C97" w:rsidR="00AC0CD5" w:rsidRPr="006515B9" w:rsidRDefault="008121D1" w:rsidP="00345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69C4287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6463DE1" w14:textId="6A1C5AEC" w:rsidR="00AC0CD5" w:rsidRPr="006515B9" w:rsidRDefault="00AC0CD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2.10.5.</w:t>
            </w:r>
          </w:p>
        </w:tc>
        <w:tc>
          <w:tcPr>
            <w:tcW w:w="4269" w:type="dxa"/>
            <w:vAlign w:val="center"/>
          </w:tcPr>
          <w:p w14:paraId="4FC08FB8" w14:textId="1DBD1548" w:rsidR="00AC0CD5" w:rsidRPr="006515B9" w:rsidRDefault="00AC0CD5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3969" w:type="dxa"/>
            <w:vAlign w:val="center"/>
          </w:tcPr>
          <w:p w14:paraId="2E98BFA8" w14:textId="77777777" w:rsidR="00AC0CD5" w:rsidRPr="006515B9" w:rsidRDefault="00AC0CD5" w:rsidP="00AC0CD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121D1">
              <w:rPr>
                <w:color w:val="000000" w:themeColor="text1"/>
                <w:sz w:val="16"/>
                <w:szCs w:val="16"/>
              </w:rPr>
              <w:t>Не реализовано.  Предоставление  ритуальных услуг в округе осуществляют 3 организации</w:t>
            </w:r>
          </w:p>
          <w:p w14:paraId="70FDB59D" w14:textId="13CD9AFA" w:rsidR="00AC0CD5" w:rsidRPr="006515B9" w:rsidRDefault="00AC0CD5" w:rsidP="00115D5A">
            <w:pPr>
              <w:jc w:val="both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02D4C82" w14:textId="77777777" w:rsidR="00AC0CD5" w:rsidRPr="006515B9" w:rsidRDefault="00AC0CD5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4DCF675" w14:textId="054F30EA" w:rsidR="00AC0CD5" w:rsidRPr="006515B9" w:rsidRDefault="00AC0CD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5BE7E189" w14:textId="4A142473" w:rsidR="00AC0CD5" w:rsidRPr="006515B9" w:rsidRDefault="00AC0CD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3238DAC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59B28FF" w14:textId="2702D5F9" w:rsidR="00AC0CD5" w:rsidRPr="006515B9" w:rsidRDefault="00AC0CD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2.10.6.</w:t>
            </w:r>
          </w:p>
        </w:tc>
        <w:tc>
          <w:tcPr>
            <w:tcW w:w="4269" w:type="dxa"/>
            <w:vAlign w:val="center"/>
          </w:tcPr>
          <w:p w14:paraId="6C80A822" w14:textId="56C0A36A" w:rsidR="00AC0CD5" w:rsidRPr="006515B9" w:rsidRDefault="00AC0CD5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3969" w:type="dxa"/>
            <w:vAlign w:val="center"/>
          </w:tcPr>
          <w:p w14:paraId="23E0C9E3" w14:textId="70AC7886" w:rsidR="00AC0CD5" w:rsidRPr="008121D1" w:rsidRDefault="00AC0CD5" w:rsidP="008121D1">
            <w:pPr>
              <w:jc w:val="both"/>
              <w:rPr>
                <w:color w:val="7030A0"/>
                <w:sz w:val="16"/>
                <w:szCs w:val="16"/>
              </w:rPr>
            </w:pPr>
            <w:r w:rsidRPr="008121D1">
              <w:rPr>
                <w:sz w:val="16"/>
                <w:szCs w:val="16"/>
              </w:rPr>
              <w:t xml:space="preserve">На территории Володарского муниципального округа места захоронения расположены в 12 населенных пунктах. Общее количество мест захоронения – 18 единиц, из них 9 – открытых и 9 закрытых. Всего оформлено право муниципальной собственности на  9 земельных участков под размещение кладбищ. В реестр кладбищ, расположенных на территории Нижегородской области, включены 9 оформленных кладбищ.  Одной из основных проблем при оформлении земельных участков – это расположение существующих мест захоронений на землях Министерства обороны РФ.  </w:t>
            </w:r>
          </w:p>
        </w:tc>
        <w:tc>
          <w:tcPr>
            <w:tcW w:w="3402" w:type="dxa"/>
            <w:vAlign w:val="center"/>
          </w:tcPr>
          <w:p w14:paraId="01ADE03C" w14:textId="7CE666CF" w:rsidR="00AC0CD5" w:rsidRPr="006515B9" w:rsidRDefault="00AC0CD5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Постановление Правительства Нижегородской области от 13 февраля 2009 г. № 56</w:t>
            </w:r>
          </w:p>
        </w:tc>
        <w:tc>
          <w:tcPr>
            <w:tcW w:w="1023" w:type="dxa"/>
            <w:vAlign w:val="center"/>
          </w:tcPr>
          <w:p w14:paraId="06801E50" w14:textId="77777777" w:rsidR="00AC0CD5" w:rsidRPr="006515B9" w:rsidRDefault="00AC0CD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7C17A599" w14:textId="77777777" w:rsidR="00AC0CD5" w:rsidRPr="006515B9" w:rsidRDefault="00AC0CD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7334FA1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A33D65E" w14:textId="45AE4F3B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2.13.4.</w:t>
            </w:r>
          </w:p>
        </w:tc>
        <w:tc>
          <w:tcPr>
            <w:tcW w:w="4269" w:type="dxa"/>
            <w:vAlign w:val="center"/>
          </w:tcPr>
          <w:p w14:paraId="61B3CBCF" w14:textId="40D22418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969" w:type="dxa"/>
            <w:vAlign w:val="center"/>
          </w:tcPr>
          <w:p w14:paraId="6061DCF3" w14:textId="77777777" w:rsidR="006D55CE" w:rsidRPr="006D55CE" w:rsidRDefault="006D55CE" w:rsidP="006D55CE">
            <w:pPr>
              <w:jc w:val="both"/>
              <w:rPr>
                <w:sz w:val="16"/>
                <w:szCs w:val="16"/>
              </w:rPr>
            </w:pPr>
            <w:r w:rsidRPr="006D55CE">
              <w:rPr>
                <w:sz w:val="16"/>
                <w:szCs w:val="16"/>
              </w:rPr>
              <w:t>В 2024 году в рамках проекта «Формирование комфортной городской среды»:</w:t>
            </w:r>
          </w:p>
          <w:p w14:paraId="256645D9" w14:textId="2737CED9" w:rsidR="006D55CE" w:rsidRPr="006D55CE" w:rsidRDefault="006D55CE" w:rsidP="006D55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D55CE">
              <w:rPr>
                <w:sz w:val="16"/>
                <w:szCs w:val="16"/>
              </w:rPr>
              <w:t xml:space="preserve">проведено рейтинговое голосование по выбору общественных территорий, подлежащих благоустройству в первоочередном порядке в 2025 году. В голосовании приняли участие 7 275 чел. </w:t>
            </w:r>
          </w:p>
          <w:p w14:paraId="5F925B10" w14:textId="65854747" w:rsidR="006D55CE" w:rsidRPr="006D55CE" w:rsidRDefault="006D55CE" w:rsidP="006D55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D55CE">
              <w:rPr>
                <w:sz w:val="16"/>
                <w:szCs w:val="16"/>
              </w:rPr>
              <w:t xml:space="preserve">проведено голосование </w:t>
            </w:r>
            <w:proofErr w:type="gramStart"/>
            <w:r w:rsidRPr="006D55CE">
              <w:rPr>
                <w:sz w:val="16"/>
                <w:szCs w:val="16"/>
              </w:rPr>
              <w:t>по выбору территории с целью участия во Всероссийском конкурсе по отбору лучших проектов в сфере</w:t>
            </w:r>
            <w:proofErr w:type="gramEnd"/>
            <w:r w:rsidRPr="006D55CE">
              <w:rPr>
                <w:sz w:val="16"/>
                <w:szCs w:val="16"/>
              </w:rPr>
              <w:t xml:space="preserve"> создания комфортной городской среды в малых городах и исторических поселениях. В голосовании приняли участие 1373 чел.</w:t>
            </w:r>
          </w:p>
          <w:p w14:paraId="499EA11C" w14:textId="0498B187" w:rsidR="00AC0CD5" w:rsidRPr="006D55CE" w:rsidRDefault="006D55CE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-</w:t>
            </w:r>
            <w:r w:rsidRPr="006D55CE">
              <w:rPr>
                <w:sz w:val="16"/>
                <w:szCs w:val="16"/>
              </w:rPr>
              <w:t xml:space="preserve">проведено  анкетирование по мероприятиям необходимым реализовать </w:t>
            </w:r>
            <w:proofErr w:type="gramStart"/>
            <w:r w:rsidRPr="006D55CE">
              <w:rPr>
                <w:sz w:val="16"/>
                <w:szCs w:val="16"/>
              </w:rPr>
              <w:t>на выбранной территории в рамках  участия во Всероссийском конкурсе по отбору лучших проектов в сфере</w:t>
            </w:r>
            <w:proofErr w:type="gramEnd"/>
            <w:r w:rsidRPr="006D55CE">
              <w:rPr>
                <w:sz w:val="16"/>
                <w:szCs w:val="16"/>
              </w:rPr>
              <w:t xml:space="preserve"> создания </w:t>
            </w:r>
            <w:r w:rsidRPr="006D55CE">
              <w:rPr>
                <w:sz w:val="16"/>
                <w:szCs w:val="16"/>
              </w:rPr>
              <w:lastRenderedPageBreak/>
              <w:t>комфортной городской среды в малых городах и исторических поселениях. В анкетировании приняли участие 753 чел.</w:t>
            </w:r>
          </w:p>
        </w:tc>
        <w:tc>
          <w:tcPr>
            <w:tcW w:w="3402" w:type="dxa"/>
            <w:vAlign w:val="center"/>
          </w:tcPr>
          <w:p w14:paraId="65979200" w14:textId="418DC2E7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Количество проведенных опросов</w:t>
            </w:r>
          </w:p>
        </w:tc>
        <w:tc>
          <w:tcPr>
            <w:tcW w:w="1023" w:type="dxa"/>
            <w:vAlign w:val="center"/>
          </w:tcPr>
          <w:p w14:paraId="5F906598" w14:textId="794E4B66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02C8FA3F" w14:textId="6A311DBA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362D2A0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BEE680B" w14:textId="1C4A4959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2.13.5.</w:t>
            </w:r>
          </w:p>
        </w:tc>
        <w:tc>
          <w:tcPr>
            <w:tcW w:w="4269" w:type="dxa"/>
            <w:vAlign w:val="center"/>
          </w:tcPr>
          <w:p w14:paraId="341A4C2F" w14:textId="0C0E7C61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Расширение практики </w:t>
            </w:r>
            <w:proofErr w:type="spellStart"/>
            <w:r w:rsidRPr="006515B9">
              <w:rPr>
                <w:color w:val="000000" w:themeColor="text1"/>
                <w:sz w:val="16"/>
                <w:szCs w:val="16"/>
              </w:rPr>
              <w:t>муниципально</w:t>
            </w:r>
            <w:proofErr w:type="spellEnd"/>
            <w:r w:rsidRPr="006515B9">
              <w:rPr>
                <w:color w:val="000000" w:themeColor="text1"/>
                <w:sz w:val="16"/>
                <w:szCs w:val="16"/>
              </w:rPr>
              <w:t>-частного партнерства в сфере благоустройства городской среды в рамках инициативных проектов</w:t>
            </w:r>
          </w:p>
        </w:tc>
        <w:tc>
          <w:tcPr>
            <w:tcW w:w="3969" w:type="dxa"/>
            <w:vAlign w:val="center"/>
          </w:tcPr>
          <w:p w14:paraId="6FE966FC" w14:textId="09132FFF" w:rsidR="00AC0CD5" w:rsidRPr="006D55CE" w:rsidRDefault="006D55CE" w:rsidP="00551487">
            <w:pPr>
              <w:jc w:val="both"/>
              <w:rPr>
                <w:i/>
                <w:color w:val="7030A0"/>
                <w:sz w:val="16"/>
                <w:szCs w:val="16"/>
              </w:rPr>
            </w:pPr>
            <w:r w:rsidRPr="006D55CE">
              <w:rPr>
                <w:iCs/>
                <w:sz w:val="16"/>
                <w:szCs w:val="16"/>
              </w:rPr>
              <w:t>В рамках проекта формирование комфортной городской среды в 2024 году благоустроенно 1 общественное пространство</w:t>
            </w:r>
          </w:p>
        </w:tc>
        <w:tc>
          <w:tcPr>
            <w:tcW w:w="3402" w:type="dxa"/>
            <w:vAlign w:val="center"/>
          </w:tcPr>
          <w:p w14:paraId="6820CF6D" w14:textId="18C958D1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Количество проектов по благоустройству городской среды, реализуемых в рамках проектов: </w:t>
            </w:r>
            <w:proofErr w:type="gramStart"/>
            <w:r w:rsidRPr="006515B9">
              <w:rPr>
                <w:color w:val="000000" w:themeColor="text1"/>
                <w:sz w:val="16"/>
                <w:szCs w:val="16"/>
              </w:rPr>
              <w:t>инициативного</w:t>
            </w:r>
            <w:proofErr w:type="gramEnd"/>
            <w:r w:rsidRPr="006515B9">
              <w:rPr>
                <w:color w:val="000000" w:themeColor="text1"/>
                <w:sz w:val="16"/>
                <w:szCs w:val="16"/>
              </w:rPr>
              <w:t xml:space="preserve"> бюджетирования «Вам решать»; «Формирование комфортной городской среды»</w:t>
            </w:r>
          </w:p>
        </w:tc>
        <w:tc>
          <w:tcPr>
            <w:tcW w:w="1023" w:type="dxa"/>
            <w:vAlign w:val="center"/>
          </w:tcPr>
          <w:p w14:paraId="0F75A088" w14:textId="7E039326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944" w:type="dxa"/>
            <w:vAlign w:val="center"/>
          </w:tcPr>
          <w:p w14:paraId="4DC2686E" w14:textId="6D346E3A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0CD5" w:rsidRPr="0041570F" w14:paraId="3D0B5A74" w14:textId="77777777" w:rsidTr="005E1267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A89C88" w14:textId="4A77729E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2.14.2.</w:t>
            </w:r>
          </w:p>
        </w:tc>
        <w:tc>
          <w:tcPr>
            <w:tcW w:w="4269" w:type="dxa"/>
            <w:vAlign w:val="center"/>
          </w:tcPr>
          <w:p w14:paraId="0B89D21E" w14:textId="47B5E6CC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3969" w:type="dxa"/>
          </w:tcPr>
          <w:p w14:paraId="414E9207" w14:textId="503CB6B6" w:rsidR="00AC0CD5" w:rsidRPr="00B261C3" w:rsidRDefault="005E1267" w:rsidP="005E1267">
            <w:pPr>
              <w:rPr>
                <w:i/>
                <w:iCs/>
                <w:color w:val="7030A0"/>
                <w:sz w:val="16"/>
                <w:szCs w:val="16"/>
                <w:lang w:val="en-US"/>
              </w:rPr>
            </w:pPr>
            <w:r w:rsidRPr="00EF78C7">
              <w:rPr>
                <w:color w:val="000000"/>
                <w:sz w:val="16"/>
                <w:szCs w:val="16"/>
              </w:rPr>
              <w:t>Обслуживание многоквартирных домов в Володарском муниципальном  округе осуществляется  14 управляющими компаниями.</w:t>
            </w:r>
            <w:r w:rsidRPr="00EF78C7">
              <w:rPr>
                <w:sz w:val="17"/>
                <w:szCs w:val="17"/>
              </w:rPr>
              <w:t xml:space="preserve">  </w:t>
            </w:r>
            <w:r w:rsidRPr="00EF78C7">
              <w:rPr>
                <w:color w:val="000000"/>
                <w:sz w:val="16"/>
                <w:szCs w:val="16"/>
              </w:rPr>
              <w:t>Проведение конкурсов по выбору управляющих компаний для обслуживания жилфонда  в  текущем году  не требовалось.  Восемь  конкурсов  проведены в 2023 году</w:t>
            </w:r>
            <w:r w:rsidR="00B261C3"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3402" w:type="dxa"/>
            <w:vAlign w:val="center"/>
          </w:tcPr>
          <w:p w14:paraId="7E44FB2B" w14:textId="4AF807AC" w:rsidR="00AC0CD5" w:rsidRPr="006515B9" w:rsidRDefault="00AC0CD5" w:rsidP="009113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3" w:type="dxa"/>
            <w:vAlign w:val="center"/>
          </w:tcPr>
          <w:p w14:paraId="37649EA7" w14:textId="284B2CE6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2A27343A" w14:textId="67063E1B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6AD5E8E0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0E42263" w14:textId="1CE2C584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2.14.3.</w:t>
            </w:r>
          </w:p>
        </w:tc>
        <w:tc>
          <w:tcPr>
            <w:tcW w:w="4269" w:type="dxa"/>
            <w:vAlign w:val="center"/>
          </w:tcPr>
          <w:p w14:paraId="2B081199" w14:textId="69F95952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3969" w:type="dxa"/>
            <w:vAlign w:val="center"/>
          </w:tcPr>
          <w:p w14:paraId="6F97E80E" w14:textId="137372FA" w:rsidR="00AC0CD5" w:rsidRPr="00B261C3" w:rsidRDefault="00B261C3" w:rsidP="00551487">
            <w:pPr>
              <w:jc w:val="both"/>
              <w:rPr>
                <w:i/>
                <w:color w:val="7030A0"/>
                <w:sz w:val="16"/>
                <w:szCs w:val="16"/>
              </w:rPr>
            </w:pPr>
            <w:r w:rsidRPr="00EF78C7">
              <w:rPr>
                <w:color w:val="000000"/>
                <w:sz w:val="16"/>
                <w:szCs w:val="16"/>
              </w:rPr>
              <w:t>Проведение конкурсов по выбору управляющих компаний для обслуживания жилфонда  в  текущем году  не требовалось</w:t>
            </w:r>
            <w:r w:rsidRPr="00B261C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и не проводилось.</w:t>
            </w:r>
          </w:p>
        </w:tc>
        <w:tc>
          <w:tcPr>
            <w:tcW w:w="3402" w:type="dxa"/>
            <w:vAlign w:val="center"/>
          </w:tcPr>
          <w:p w14:paraId="31AE5A3F" w14:textId="2824DDB9" w:rsidR="00AC0CD5" w:rsidRPr="006515B9" w:rsidRDefault="00AC0CD5" w:rsidP="009113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3" w:type="dxa"/>
            <w:vAlign w:val="center"/>
          </w:tcPr>
          <w:p w14:paraId="08C8F1CA" w14:textId="2895B7FC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1FF09020" w14:textId="12C00283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4D98B04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429819C" w14:textId="31C837F9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2.18.1</w:t>
            </w:r>
          </w:p>
        </w:tc>
        <w:tc>
          <w:tcPr>
            <w:tcW w:w="4269" w:type="dxa"/>
            <w:vAlign w:val="center"/>
          </w:tcPr>
          <w:p w14:paraId="375E144A" w14:textId="1953C705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3969" w:type="dxa"/>
            <w:vAlign w:val="center"/>
          </w:tcPr>
          <w:p w14:paraId="2F3D33D3" w14:textId="4D438224" w:rsidR="00AC0CD5" w:rsidRPr="006515B9" w:rsidRDefault="006D55CE" w:rsidP="00551487">
            <w:pPr>
              <w:jc w:val="both"/>
              <w:rPr>
                <w:i/>
                <w:color w:val="7030A0"/>
                <w:sz w:val="16"/>
                <w:szCs w:val="16"/>
              </w:rPr>
            </w:pPr>
            <w:r>
              <w:rPr>
                <w:sz w:val="16"/>
                <w:szCs w:val="16"/>
              </w:rPr>
              <w:t>В 2024 году</w:t>
            </w:r>
            <w:r w:rsidRPr="00704CA7">
              <w:rPr>
                <w:sz w:val="16"/>
                <w:szCs w:val="16"/>
              </w:rPr>
              <w:t xml:space="preserve">  проведение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не требовалось</w:t>
            </w:r>
          </w:p>
        </w:tc>
        <w:tc>
          <w:tcPr>
            <w:tcW w:w="3402" w:type="dxa"/>
            <w:vAlign w:val="center"/>
          </w:tcPr>
          <w:p w14:paraId="59F9F06E" w14:textId="295ADAC6" w:rsidR="00AC0CD5" w:rsidRPr="006515B9" w:rsidRDefault="00AC0CD5" w:rsidP="009113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3" w:type="dxa"/>
            <w:vAlign w:val="center"/>
          </w:tcPr>
          <w:p w14:paraId="64899070" w14:textId="7D32844D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0C7708C9" w14:textId="160A672D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3450041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44778F" w14:textId="429EA78D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2.18.3.</w:t>
            </w:r>
          </w:p>
        </w:tc>
        <w:tc>
          <w:tcPr>
            <w:tcW w:w="4269" w:type="dxa"/>
            <w:vAlign w:val="center"/>
          </w:tcPr>
          <w:p w14:paraId="49AB9AC4" w14:textId="76274C67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3969" w:type="dxa"/>
            <w:vAlign w:val="center"/>
          </w:tcPr>
          <w:p w14:paraId="575D27AB" w14:textId="43B7F955" w:rsidR="00AC0CD5" w:rsidRPr="006515B9" w:rsidRDefault="006D55CE" w:rsidP="00551487">
            <w:pPr>
              <w:jc w:val="both"/>
              <w:rPr>
                <w:i/>
                <w:color w:val="7030A0"/>
                <w:sz w:val="16"/>
                <w:szCs w:val="16"/>
              </w:rPr>
            </w:pPr>
            <w:r>
              <w:rPr>
                <w:sz w:val="16"/>
                <w:szCs w:val="16"/>
              </w:rPr>
              <w:t>В 2024 году</w:t>
            </w:r>
            <w:r w:rsidRPr="00CF10FA">
              <w:rPr>
                <w:sz w:val="16"/>
                <w:szCs w:val="16"/>
              </w:rPr>
              <w:t xml:space="preserve">  проведение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не требовалось.</w:t>
            </w:r>
          </w:p>
        </w:tc>
        <w:tc>
          <w:tcPr>
            <w:tcW w:w="3402" w:type="dxa"/>
            <w:vAlign w:val="center"/>
          </w:tcPr>
          <w:p w14:paraId="2BC7BC7D" w14:textId="6B6EEBC2" w:rsidR="00AC0CD5" w:rsidRPr="006515B9" w:rsidRDefault="00AC0CD5" w:rsidP="009113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3" w:type="dxa"/>
            <w:vAlign w:val="center"/>
          </w:tcPr>
          <w:p w14:paraId="2896DA6F" w14:textId="195770B5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3E4691B1" w14:textId="4A8B93B7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250178C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6D9C155" w14:textId="1889E8FE" w:rsidR="00AC0CD5" w:rsidRPr="006515B9" w:rsidRDefault="00AC0CD5" w:rsidP="00206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2.18.4.</w:t>
            </w:r>
          </w:p>
        </w:tc>
        <w:tc>
          <w:tcPr>
            <w:tcW w:w="4269" w:type="dxa"/>
          </w:tcPr>
          <w:p w14:paraId="3ADA900D" w14:textId="129B3CD2" w:rsidR="00AC0CD5" w:rsidRPr="006515B9" w:rsidRDefault="00AC0CD5" w:rsidP="00206F5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3969" w:type="dxa"/>
            <w:vAlign w:val="center"/>
          </w:tcPr>
          <w:p w14:paraId="6DD52912" w14:textId="0BD5A626" w:rsidR="00AC0CD5" w:rsidRPr="006515B9" w:rsidRDefault="00DA6020" w:rsidP="00206F53">
            <w:pPr>
              <w:jc w:val="both"/>
              <w:rPr>
                <w:i/>
                <w:color w:val="7030A0"/>
                <w:sz w:val="16"/>
                <w:szCs w:val="16"/>
              </w:rPr>
            </w:pPr>
            <w:r w:rsidRPr="007E0828">
              <w:rPr>
                <w:sz w:val="16"/>
                <w:szCs w:val="16"/>
              </w:rPr>
              <w:t>Муниципальная маршрутная сеть регулярных перевозок на территории Володарского муниципального округа сформирована. В текущем  году открытие, изменение или закрытие маршрутов регулярных перевозок на территории округа не планировалось, предложений от перевозчиков не поступало.</w:t>
            </w:r>
          </w:p>
        </w:tc>
        <w:tc>
          <w:tcPr>
            <w:tcW w:w="3402" w:type="dxa"/>
            <w:vAlign w:val="center"/>
          </w:tcPr>
          <w:p w14:paraId="25959C64" w14:textId="4750035C" w:rsidR="00AC0CD5" w:rsidRPr="006515B9" w:rsidRDefault="00AC0CD5" w:rsidP="00206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3" w:type="dxa"/>
            <w:vAlign w:val="center"/>
          </w:tcPr>
          <w:p w14:paraId="779D5DC0" w14:textId="1DAD8202" w:rsidR="00AC0CD5" w:rsidRPr="006515B9" w:rsidRDefault="00AC0CD5" w:rsidP="00206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6B227C25" w14:textId="24613B54" w:rsidR="00AC0CD5" w:rsidRPr="006515B9" w:rsidRDefault="00AC0CD5" w:rsidP="00206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6B17BFA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1844CFB" w14:textId="29B6DE97" w:rsidR="00AC0CD5" w:rsidRPr="006515B9" w:rsidRDefault="00AC0CD5" w:rsidP="00206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lastRenderedPageBreak/>
              <w:t>2.18.5.</w:t>
            </w:r>
          </w:p>
        </w:tc>
        <w:tc>
          <w:tcPr>
            <w:tcW w:w="4269" w:type="dxa"/>
          </w:tcPr>
          <w:p w14:paraId="5B8A0AEE" w14:textId="68790FE4" w:rsidR="00AC0CD5" w:rsidRPr="006515B9" w:rsidRDefault="00AC0CD5" w:rsidP="00206F5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3969" w:type="dxa"/>
            <w:vAlign w:val="center"/>
          </w:tcPr>
          <w:p w14:paraId="59D22CD1" w14:textId="6EC67579" w:rsidR="00AC0CD5" w:rsidRPr="00A779F2" w:rsidRDefault="00A779F2" w:rsidP="00206F53">
            <w:pPr>
              <w:jc w:val="both"/>
              <w:rPr>
                <w:i/>
                <w:color w:val="7030A0"/>
                <w:sz w:val="16"/>
                <w:szCs w:val="16"/>
              </w:rPr>
            </w:pPr>
            <w:r w:rsidRPr="00A779F2">
              <w:rPr>
                <w:sz w:val="16"/>
                <w:szCs w:val="16"/>
              </w:rPr>
              <w:t>Мониторинг пассажиропотока</w:t>
            </w:r>
            <w:r>
              <w:rPr>
                <w:sz w:val="16"/>
                <w:szCs w:val="16"/>
              </w:rPr>
              <w:t xml:space="preserve"> и потребность в корректировке маршрутной сети Володарского муниципального округа не проводились</w:t>
            </w:r>
            <w:r w:rsidRPr="00A779F2">
              <w:rPr>
                <w:sz w:val="16"/>
                <w:szCs w:val="16"/>
              </w:rPr>
              <w:t>, не требуется.</w:t>
            </w:r>
          </w:p>
        </w:tc>
        <w:tc>
          <w:tcPr>
            <w:tcW w:w="3402" w:type="dxa"/>
            <w:vAlign w:val="center"/>
          </w:tcPr>
          <w:p w14:paraId="6F0E3E64" w14:textId="639DCBA4" w:rsidR="00AC0CD5" w:rsidRPr="006515B9" w:rsidRDefault="00AC0CD5" w:rsidP="00206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3" w:type="dxa"/>
            <w:vAlign w:val="center"/>
          </w:tcPr>
          <w:p w14:paraId="107C74D2" w14:textId="412DCC9F" w:rsidR="00AC0CD5" w:rsidRPr="006515B9" w:rsidRDefault="00AC0CD5" w:rsidP="00206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119A64BF" w14:textId="150FD811" w:rsidR="00AC0CD5" w:rsidRPr="006515B9" w:rsidRDefault="00AC0CD5" w:rsidP="00206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0D3DB9AC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BD7537F" w14:textId="2E0DE0A3" w:rsidR="00AC0CD5" w:rsidRPr="006515B9" w:rsidRDefault="00AC0CD5" w:rsidP="009113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2.18.6.</w:t>
            </w:r>
          </w:p>
        </w:tc>
        <w:tc>
          <w:tcPr>
            <w:tcW w:w="4269" w:type="dxa"/>
          </w:tcPr>
          <w:p w14:paraId="7EAAE6E1" w14:textId="0763823C" w:rsidR="00AC0CD5" w:rsidRPr="006515B9" w:rsidRDefault="00AC0CD5" w:rsidP="009113E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3969" w:type="dxa"/>
            <w:vAlign w:val="center"/>
          </w:tcPr>
          <w:p w14:paraId="7D684B55" w14:textId="130AC1C6" w:rsidR="00AC0CD5" w:rsidRPr="00A779F2" w:rsidRDefault="00A779F2" w:rsidP="009113E2">
            <w:pPr>
              <w:jc w:val="both"/>
              <w:rPr>
                <w:b/>
                <w:bCs/>
                <w:i/>
                <w:color w:val="7030A0"/>
                <w:sz w:val="16"/>
                <w:szCs w:val="16"/>
              </w:rPr>
            </w:pPr>
            <w:r w:rsidRPr="00A779F2">
              <w:rPr>
                <w:sz w:val="16"/>
                <w:szCs w:val="16"/>
              </w:rPr>
              <w:t>Внесение в документ планирования муниципальных маршрутов регулярных перевозок не требуется</w:t>
            </w:r>
          </w:p>
        </w:tc>
        <w:tc>
          <w:tcPr>
            <w:tcW w:w="3402" w:type="dxa"/>
            <w:vAlign w:val="center"/>
          </w:tcPr>
          <w:p w14:paraId="251EF6FD" w14:textId="379A5002" w:rsidR="00AC0CD5" w:rsidRPr="006515B9" w:rsidRDefault="00AC0CD5" w:rsidP="00206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3" w:type="dxa"/>
            <w:vAlign w:val="center"/>
          </w:tcPr>
          <w:p w14:paraId="3C2F368C" w14:textId="1BE0B1A9" w:rsidR="00AC0CD5" w:rsidRPr="006515B9" w:rsidRDefault="00AC0CD5" w:rsidP="009113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2FF60C2C" w14:textId="160C5DB0" w:rsidR="00AC0CD5" w:rsidRPr="006515B9" w:rsidRDefault="00AC0CD5" w:rsidP="009113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AC0CD5" w:rsidRPr="0041570F" w14:paraId="5D2FCB1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C528464" w14:textId="16288167" w:rsidR="00AC0CD5" w:rsidRPr="006515B9" w:rsidRDefault="00AC0CD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2.38.2</w:t>
            </w:r>
          </w:p>
        </w:tc>
        <w:tc>
          <w:tcPr>
            <w:tcW w:w="4269" w:type="dxa"/>
            <w:vAlign w:val="center"/>
          </w:tcPr>
          <w:p w14:paraId="14ADCEAA" w14:textId="783851CC" w:rsidR="00AC0CD5" w:rsidRPr="006515B9" w:rsidRDefault="00AC0CD5" w:rsidP="00115D5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Создание отдельного раздела на официальном сайте в сети «Интернет» по наиболее часто задаваемым вопросам </w:t>
            </w:r>
            <w:r w:rsidRPr="006515B9">
              <w:rPr>
                <w:iCs/>
                <w:color w:val="000000" w:themeColor="text1"/>
                <w:sz w:val="16"/>
                <w:szCs w:val="16"/>
              </w:rPr>
              <w:t>(по наружной рекламе)</w:t>
            </w:r>
            <w:r w:rsidRPr="006515B9">
              <w:rPr>
                <w:color w:val="000000" w:themeColor="text1"/>
                <w:sz w:val="16"/>
                <w:szCs w:val="16"/>
              </w:rPr>
              <w:t xml:space="preserve"> с возможностью обратной связи</w:t>
            </w:r>
          </w:p>
        </w:tc>
        <w:tc>
          <w:tcPr>
            <w:tcW w:w="3969" w:type="dxa"/>
            <w:vAlign w:val="center"/>
          </w:tcPr>
          <w:p w14:paraId="72F5F222" w14:textId="77777777" w:rsidR="00CE668D" w:rsidRPr="00A6759C" w:rsidRDefault="00CE668D" w:rsidP="00CE668D">
            <w:pPr>
              <w:rPr>
                <w:sz w:val="16"/>
                <w:szCs w:val="16"/>
              </w:rPr>
            </w:pPr>
            <w:r w:rsidRPr="00A6759C">
              <w:rPr>
                <w:sz w:val="16"/>
                <w:szCs w:val="16"/>
              </w:rPr>
              <w:t>На сайте администрации Володарского муниципального округа создан раздел «Наружная реклама», который актуализируется по мере необходимости, размещен   https://volodarsk.nobl.ru/activity/41631/</w:t>
            </w:r>
          </w:p>
          <w:p w14:paraId="6ADE1D88" w14:textId="6056F703" w:rsidR="00AC0CD5" w:rsidRPr="006515B9" w:rsidRDefault="00CE668D" w:rsidP="00CE668D">
            <w:pPr>
              <w:jc w:val="both"/>
              <w:rPr>
                <w:i/>
                <w:color w:val="7030A0"/>
                <w:sz w:val="16"/>
                <w:szCs w:val="16"/>
              </w:rPr>
            </w:pPr>
            <w:r w:rsidRPr="00A6759C">
              <w:rPr>
                <w:sz w:val="16"/>
                <w:szCs w:val="16"/>
              </w:rPr>
              <w:t xml:space="preserve">Организовано оказание информационной и  консультационной  поддержки организациям данной сферы </w:t>
            </w:r>
            <w:r>
              <w:rPr>
                <w:sz w:val="16"/>
                <w:szCs w:val="16"/>
              </w:rPr>
              <w:t xml:space="preserve"> МАУ</w:t>
            </w:r>
            <w:r w:rsidRPr="00A6759C">
              <w:rPr>
                <w:sz w:val="16"/>
                <w:szCs w:val="16"/>
              </w:rPr>
              <w:t xml:space="preserve"> «Володарский центр развития бизнеса» по всем вопросам ведения хозяйственной деятельности</w:t>
            </w:r>
          </w:p>
        </w:tc>
        <w:tc>
          <w:tcPr>
            <w:tcW w:w="3402" w:type="dxa"/>
            <w:vAlign w:val="center"/>
          </w:tcPr>
          <w:p w14:paraId="661FD913" w14:textId="758987BE" w:rsidR="00AC0CD5" w:rsidRPr="006515B9" w:rsidRDefault="00AC0CD5" w:rsidP="002115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3" w:type="dxa"/>
            <w:vAlign w:val="center"/>
          </w:tcPr>
          <w:p w14:paraId="6ED792AE" w14:textId="6174DE1E" w:rsidR="00AC0CD5" w:rsidRPr="006515B9" w:rsidRDefault="00AC0CD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5F2302D0" w14:textId="003E34E6" w:rsidR="00AC0CD5" w:rsidRPr="006515B9" w:rsidRDefault="00AC0CD5" w:rsidP="00115D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0CD5" w:rsidRPr="0041570F" w14:paraId="6896685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382F37F" w14:textId="2E996633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2.40.1</w:t>
            </w:r>
          </w:p>
        </w:tc>
        <w:tc>
          <w:tcPr>
            <w:tcW w:w="4269" w:type="dxa"/>
            <w:vAlign w:val="center"/>
          </w:tcPr>
          <w:p w14:paraId="01C44E25" w14:textId="4C491713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3969" w:type="dxa"/>
            <w:vAlign w:val="center"/>
          </w:tcPr>
          <w:p w14:paraId="62F6906B" w14:textId="482538B7" w:rsidR="00AC0CD5" w:rsidRPr="006515B9" w:rsidRDefault="004077AC" w:rsidP="00551487">
            <w:pPr>
              <w:jc w:val="both"/>
              <w:rPr>
                <w:i/>
                <w:color w:val="7030A0"/>
                <w:sz w:val="16"/>
                <w:szCs w:val="16"/>
              </w:rPr>
            </w:pPr>
            <w:r w:rsidRPr="0042368A">
              <w:rPr>
                <w:sz w:val="16"/>
                <w:szCs w:val="16"/>
              </w:rPr>
              <w:t>В Володарском муниципальном округе  в текущем году новые экскурсии и маршруты  не  разрабатывались. Разработано маршрутов/экскурсий  в 2021г. – 2ед., 2022г.-  2ед., 2023г. – 2 ед.</w:t>
            </w:r>
          </w:p>
        </w:tc>
        <w:tc>
          <w:tcPr>
            <w:tcW w:w="3402" w:type="dxa"/>
            <w:vAlign w:val="center"/>
          </w:tcPr>
          <w:p w14:paraId="280F54CE" w14:textId="3AF2E542" w:rsidR="00AC0CD5" w:rsidRPr="006515B9" w:rsidRDefault="00AC0CD5" w:rsidP="005514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Количество разработанных </w:t>
            </w:r>
            <w:r w:rsidRPr="006515B9">
              <w:rPr>
                <w:b/>
                <w:bCs/>
                <w:color w:val="000000" w:themeColor="text1"/>
                <w:sz w:val="16"/>
                <w:szCs w:val="16"/>
              </w:rPr>
              <w:t xml:space="preserve">маршрутов/ экскурсий </w:t>
            </w:r>
            <w:r w:rsidRPr="006515B9">
              <w:rPr>
                <w:color w:val="000000" w:themeColor="text1"/>
                <w:sz w:val="16"/>
                <w:szCs w:val="16"/>
              </w:rPr>
              <w:t>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602FA1D6" w14:textId="27D85005" w:rsidR="00AC0CD5" w:rsidRPr="006515B9" w:rsidRDefault="00AC0CD5" w:rsidP="005514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944" w:type="dxa"/>
            <w:vAlign w:val="center"/>
          </w:tcPr>
          <w:p w14:paraId="6F353DF2" w14:textId="59A14D9E" w:rsidR="00AC0CD5" w:rsidRPr="006515B9" w:rsidRDefault="004077AC" w:rsidP="004A4A7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AC0CD5" w:rsidRPr="0041570F" w14:paraId="59DF6CB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FEAFA26" w14:textId="58D38C10" w:rsidR="00AC0CD5" w:rsidRPr="006515B9" w:rsidRDefault="00AC0CD5" w:rsidP="00FB69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2.40.2.</w:t>
            </w:r>
          </w:p>
        </w:tc>
        <w:tc>
          <w:tcPr>
            <w:tcW w:w="4269" w:type="dxa"/>
          </w:tcPr>
          <w:p w14:paraId="148B3A95" w14:textId="7FCE7564" w:rsidR="00AC0CD5" w:rsidRPr="006515B9" w:rsidRDefault="00AC0CD5" w:rsidP="00FB69D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Содействие созданию (развитию деятельности) объектов туристской индустрии в кластере «Арзамас – Саров - Дивеево» Нижегородской области</w:t>
            </w:r>
          </w:p>
        </w:tc>
        <w:tc>
          <w:tcPr>
            <w:tcW w:w="3969" w:type="dxa"/>
            <w:vAlign w:val="center"/>
          </w:tcPr>
          <w:p w14:paraId="3C531123" w14:textId="7907587E" w:rsidR="00AC0CD5" w:rsidRPr="006515B9" w:rsidRDefault="004077AC" w:rsidP="00FB69D3">
            <w:pPr>
              <w:jc w:val="both"/>
              <w:rPr>
                <w:i/>
                <w:color w:val="7030A0"/>
                <w:sz w:val="16"/>
                <w:szCs w:val="16"/>
              </w:rPr>
            </w:pPr>
            <w:r w:rsidRPr="00287385">
              <w:rPr>
                <w:sz w:val="16"/>
                <w:szCs w:val="16"/>
              </w:rPr>
              <w:t xml:space="preserve">МАУК "Володарский музейный центр» проводит работу по разработке маршрутов, взаимодействует  с организациями туриндустрии,  организует  экскурсии в </w:t>
            </w:r>
            <w:proofErr w:type="spellStart"/>
            <w:r w:rsidRPr="00287385">
              <w:rPr>
                <w:sz w:val="16"/>
                <w:szCs w:val="16"/>
              </w:rPr>
              <w:t>г</w:t>
            </w:r>
            <w:proofErr w:type="gramStart"/>
            <w:r w:rsidRPr="00287385">
              <w:rPr>
                <w:sz w:val="16"/>
                <w:szCs w:val="16"/>
              </w:rPr>
              <w:t>.А</w:t>
            </w:r>
            <w:proofErr w:type="gramEnd"/>
            <w:r w:rsidRPr="00287385">
              <w:rPr>
                <w:sz w:val="16"/>
                <w:szCs w:val="16"/>
              </w:rPr>
              <w:t>рзамас</w:t>
            </w:r>
            <w:proofErr w:type="spellEnd"/>
            <w:r w:rsidRPr="00287385">
              <w:rPr>
                <w:sz w:val="16"/>
                <w:szCs w:val="16"/>
              </w:rPr>
              <w:t xml:space="preserve">, </w:t>
            </w:r>
            <w:proofErr w:type="spellStart"/>
            <w:r w:rsidRPr="00287385">
              <w:rPr>
                <w:sz w:val="16"/>
                <w:szCs w:val="16"/>
              </w:rPr>
              <w:t>г.Дивеево</w:t>
            </w:r>
            <w:proofErr w:type="spellEnd"/>
            <w:r w:rsidRPr="00287385">
              <w:rPr>
                <w:sz w:val="16"/>
                <w:szCs w:val="16"/>
              </w:rPr>
              <w:t>: разработаны маршруты,  подготовлен экскурсовод, размещена информация об экскурсии на сайте учреждения, организовано взаимодействие с транспортными компаниями, разработаны и распространены афиши и брошюры</w:t>
            </w:r>
          </w:p>
        </w:tc>
        <w:tc>
          <w:tcPr>
            <w:tcW w:w="3402" w:type="dxa"/>
            <w:vAlign w:val="center"/>
          </w:tcPr>
          <w:p w14:paraId="59C54F98" w14:textId="1BEB9AB4" w:rsidR="00AC0CD5" w:rsidRPr="006515B9" w:rsidRDefault="00AC0CD5" w:rsidP="00FB69D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78B7B2D3" w14:textId="617FA5A4" w:rsidR="00AC0CD5" w:rsidRPr="006515B9" w:rsidRDefault="00AC0CD5" w:rsidP="00FB69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944" w:type="dxa"/>
            <w:vAlign w:val="center"/>
          </w:tcPr>
          <w:p w14:paraId="7BE86545" w14:textId="77777777" w:rsidR="004077AC" w:rsidRPr="00287385" w:rsidRDefault="004077AC" w:rsidP="004077AC">
            <w:pPr>
              <w:jc w:val="center"/>
              <w:rPr>
                <w:sz w:val="18"/>
                <w:szCs w:val="18"/>
              </w:rPr>
            </w:pPr>
            <w:r w:rsidRPr="00287385">
              <w:rPr>
                <w:sz w:val="18"/>
                <w:szCs w:val="18"/>
              </w:rPr>
              <w:t xml:space="preserve">0 </w:t>
            </w:r>
          </w:p>
          <w:p w14:paraId="018B58EF" w14:textId="1D81FFE1" w:rsidR="00AC0CD5" w:rsidRPr="006515B9" w:rsidRDefault="004077AC" w:rsidP="004077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7385">
              <w:rPr>
                <w:sz w:val="18"/>
                <w:szCs w:val="18"/>
              </w:rPr>
              <w:t>(не требовалось)</w:t>
            </w:r>
          </w:p>
        </w:tc>
      </w:tr>
      <w:tr w:rsidR="00AC0CD5" w:rsidRPr="0041570F" w14:paraId="65DD806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51F685C" w14:textId="0393D15D" w:rsidR="00AC0CD5" w:rsidRPr="006515B9" w:rsidRDefault="00AC0CD5" w:rsidP="00FB69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2.40.3.</w:t>
            </w:r>
          </w:p>
        </w:tc>
        <w:tc>
          <w:tcPr>
            <w:tcW w:w="4269" w:type="dxa"/>
          </w:tcPr>
          <w:p w14:paraId="10F3718F" w14:textId="12160C3F" w:rsidR="00AC0CD5" w:rsidRPr="006515B9" w:rsidRDefault="00AC0CD5" w:rsidP="00FB69D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 xml:space="preserve">Разработка </w:t>
            </w:r>
            <w:proofErr w:type="gramStart"/>
            <w:r w:rsidRPr="006515B9">
              <w:rPr>
                <w:color w:val="000000" w:themeColor="text1"/>
                <w:sz w:val="16"/>
                <w:szCs w:val="16"/>
              </w:rPr>
              <w:t>чек-листов</w:t>
            </w:r>
            <w:proofErr w:type="gramEnd"/>
            <w:r w:rsidRPr="006515B9">
              <w:rPr>
                <w:color w:val="000000" w:themeColor="text1"/>
                <w:sz w:val="16"/>
                <w:szCs w:val="16"/>
              </w:rPr>
              <w:t xml:space="preserve">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3969" w:type="dxa"/>
            <w:vAlign w:val="center"/>
          </w:tcPr>
          <w:p w14:paraId="2603778F" w14:textId="77777777" w:rsidR="004077AC" w:rsidRDefault="004077AC" w:rsidP="00FB69D3">
            <w:pPr>
              <w:jc w:val="both"/>
              <w:rPr>
                <w:sz w:val="16"/>
                <w:szCs w:val="16"/>
              </w:rPr>
            </w:pPr>
            <w:r w:rsidRPr="008116F7">
              <w:rPr>
                <w:sz w:val="16"/>
                <w:szCs w:val="16"/>
              </w:rPr>
              <w:t xml:space="preserve">После разработки и направления </w:t>
            </w:r>
            <w:proofErr w:type="gramStart"/>
            <w:r w:rsidRPr="008116F7">
              <w:rPr>
                <w:sz w:val="16"/>
                <w:szCs w:val="16"/>
              </w:rPr>
              <w:t>чек</w:t>
            </w:r>
            <w:r>
              <w:rPr>
                <w:sz w:val="16"/>
                <w:szCs w:val="16"/>
              </w:rPr>
              <w:t>-листов</w:t>
            </w:r>
            <w:proofErr w:type="gramEnd"/>
            <w:r>
              <w:rPr>
                <w:sz w:val="16"/>
                <w:szCs w:val="16"/>
              </w:rPr>
              <w:t xml:space="preserve"> министерством туризма и промыслов </w:t>
            </w:r>
            <w:r w:rsidRPr="008116F7">
              <w:rPr>
                <w:sz w:val="16"/>
                <w:szCs w:val="16"/>
              </w:rPr>
              <w:t>Нижегородской </w:t>
            </w:r>
          </w:p>
          <w:p w14:paraId="66583025" w14:textId="6E0E71B4" w:rsidR="00AC0CD5" w:rsidRPr="006515B9" w:rsidRDefault="004077AC" w:rsidP="00FB69D3">
            <w:pPr>
              <w:jc w:val="both"/>
              <w:rPr>
                <w:i/>
                <w:color w:val="7030A0"/>
                <w:sz w:val="16"/>
                <w:szCs w:val="16"/>
              </w:rPr>
            </w:pPr>
            <w:r w:rsidRPr="008116F7">
              <w:rPr>
                <w:sz w:val="16"/>
                <w:szCs w:val="16"/>
              </w:rPr>
              <w:t xml:space="preserve">области, они будут размещены на сайте администрации Володарского муниципального округа и учреждений культуры. В  текущем году </w:t>
            </w:r>
            <w:proofErr w:type="gramStart"/>
            <w:r w:rsidRPr="008116F7">
              <w:rPr>
                <w:sz w:val="16"/>
                <w:szCs w:val="16"/>
              </w:rPr>
              <w:t>чек-листы</w:t>
            </w:r>
            <w:proofErr w:type="gramEnd"/>
            <w:r w:rsidRPr="008116F7">
              <w:rPr>
                <w:sz w:val="16"/>
                <w:szCs w:val="16"/>
              </w:rPr>
              <w:t xml:space="preserve"> не направлялись в адрес администрации округа</w:t>
            </w:r>
          </w:p>
        </w:tc>
        <w:tc>
          <w:tcPr>
            <w:tcW w:w="3402" w:type="dxa"/>
            <w:vAlign w:val="center"/>
          </w:tcPr>
          <w:p w14:paraId="603BFA4B" w14:textId="77777777" w:rsidR="00AC0CD5" w:rsidRPr="006515B9" w:rsidRDefault="00AC0CD5" w:rsidP="00FB69D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4E818B0C" w14:textId="389AB2F3" w:rsidR="00AC0CD5" w:rsidRPr="006515B9" w:rsidRDefault="00AC0CD5" w:rsidP="00FB69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44" w:type="dxa"/>
            <w:vAlign w:val="center"/>
          </w:tcPr>
          <w:p w14:paraId="77FDFCF0" w14:textId="21CFD9AA" w:rsidR="00AC0CD5" w:rsidRPr="006515B9" w:rsidRDefault="00AC0CD5" w:rsidP="00FB69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15B9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9"/>
        <w:gridCol w:w="3432"/>
        <w:gridCol w:w="4127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17222B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4158BF">
              <w:rPr>
                <w:sz w:val="22"/>
                <w:szCs w:val="22"/>
              </w:rPr>
              <w:t>п</w:t>
            </w:r>
            <w:proofErr w:type="gramEnd"/>
            <w:r w:rsidRPr="004158BF">
              <w:rPr>
                <w:sz w:val="22"/>
                <w:szCs w:val="22"/>
              </w:rPr>
              <w:t xml:space="preserve">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76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660" w:type="dxa"/>
            <w:gridSpan w:val="2"/>
            <w:vAlign w:val="center"/>
          </w:tcPr>
          <w:p w14:paraId="62C29BC4" w14:textId="3BF8A428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17222B">
              <w:rPr>
                <w:b/>
                <w:sz w:val="22"/>
                <w:szCs w:val="22"/>
              </w:rPr>
              <w:t>4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389" w:type="dxa"/>
            <w:vAlign w:val="center"/>
          </w:tcPr>
          <w:p w14:paraId="435184F1" w14:textId="41267987" w:rsidR="00C268A4" w:rsidRPr="007E6024" w:rsidRDefault="00C268A4" w:rsidP="00C268A4">
            <w:pPr>
              <w:jc w:val="center"/>
              <w:rPr>
                <w:sz w:val="22"/>
                <w:szCs w:val="22"/>
              </w:rPr>
            </w:pPr>
            <w:r w:rsidRPr="007E6024">
              <w:rPr>
                <w:sz w:val="22"/>
                <w:szCs w:val="22"/>
              </w:rPr>
              <w:t xml:space="preserve">Фактическое значение </w:t>
            </w:r>
            <w:proofErr w:type="gramStart"/>
            <w:r w:rsidRPr="007E6024">
              <w:rPr>
                <w:sz w:val="22"/>
                <w:szCs w:val="22"/>
              </w:rPr>
              <w:t>целевого</w:t>
            </w:r>
            <w:proofErr w:type="gramEnd"/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7E6024">
              <w:rPr>
                <w:sz w:val="22"/>
                <w:szCs w:val="22"/>
              </w:rPr>
              <w:t>показателя</w:t>
            </w:r>
            <w:r w:rsidR="004A4A74" w:rsidRPr="007E602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17222B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76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92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3DE7DB40" w14:textId="2F0175C5" w:rsidR="004158BF" w:rsidRPr="000F7E7E" w:rsidRDefault="00A779F2" w:rsidP="004158BF">
            <w:pPr>
              <w:rPr>
                <w:i/>
                <w:iCs/>
                <w:color w:val="7030A0"/>
                <w:sz w:val="16"/>
                <w:szCs w:val="16"/>
              </w:rPr>
            </w:pPr>
            <w:r w:rsidRPr="000F7E7E">
              <w:rPr>
                <w:iCs/>
                <w:sz w:val="16"/>
                <w:szCs w:val="16"/>
              </w:rPr>
              <w:t>В  2024 году в рамках муниципальной программы «Формирование современной городской среды было заключено 2 муниципальных контракта 2 договора подряда  на общую сумму  30,3 млн. руб.</w:t>
            </w:r>
          </w:p>
        </w:tc>
        <w:tc>
          <w:tcPr>
            <w:tcW w:w="4182" w:type="dxa"/>
          </w:tcPr>
          <w:p w14:paraId="7D0E05BF" w14:textId="77777777" w:rsidR="00A779F2" w:rsidRPr="000F7E7E" w:rsidRDefault="00A779F2" w:rsidP="00A779F2">
            <w:pPr>
              <w:rPr>
                <w:bCs/>
                <w:i/>
                <w:iCs/>
                <w:color w:val="7030A0"/>
                <w:sz w:val="16"/>
                <w:szCs w:val="16"/>
              </w:rPr>
            </w:pPr>
            <w:r w:rsidRPr="000F7E7E">
              <w:rPr>
                <w:bCs/>
                <w:sz w:val="16"/>
                <w:szCs w:val="16"/>
              </w:rPr>
              <w:t>Все  контракты заключены с субъектами малого предпринимательства.</w:t>
            </w:r>
          </w:p>
          <w:p w14:paraId="02D305A3" w14:textId="660FCD13" w:rsidR="004158BF" w:rsidRPr="007E6024" w:rsidRDefault="004158BF" w:rsidP="004158BF">
            <w:pPr>
              <w:rPr>
                <w:b/>
                <w:bCs/>
                <w:sz w:val="20"/>
              </w:rPr>
            </w:pPr>
          </w:p>
        </w:tc>
        <w:tc>
          <w:tcPr>
            <w:tcW w:w="1389" w:type="dxa"/>
          </w:tcPr>
          <w:p w14:paraId="748BFA74" w14:textId="398DF67D" w:rsidR="004158BF" w:rsidRPr="000F7E7E" w:rsidRDefault="000F7E7E" w:rsidP="00CD0669">
            <w:pPr>
              <w:jc w:val="center"/>
              <w:rPr>
                <w:b/>
                <w:bCs/>
                <w:sz w:val="16"/>
                <w:szCs w:val="16"/>
              </w:rPr>
            </w:pPr>
            <w:r w:rsidRPr="000F7E7E"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AF572C" w14:paraId="3D17669F" w14:textId="77777777" w:rsidTr="0017222B">
        <w:tc>
          <w:tcPr>
            <w:tcW w:w="1118" w:type="dxa"/>
          </w:tcPr>
          <w:p w14:paraId="6BF06B74" w14:textId="67473AC1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76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92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5C9CB208" w14:textId="77777777" w:rsidR="000F7E7E" w:rsidRPr="000F7E7E" w:rsidRDefault="000F7E7E" w:rsidP="000F7E7E">
            <w:pPr>
              <w:rPr>
                <w:bCs/>
                <w:iCs/>
                <w:sz w:val="16"/>
                <w:szCs w:val="16"/>
              </w:rPr>
            </w:pPr>
            <w:r w:rsidRPr="000F7E7E">
              <w:rPr>
                <w:iCs/>
                <w:sz w:val="16"/>
                <w:szCs w:val="16"/>
              </w:rPr>
              <w:t xml:space="preserve">В  2024 году в рамках муниципальной программы «Формирование современной городской среды было заключен </w:t>
            </w:r>
            <w:r w:rsidRPr="000F7E7E">
              <w:rPr>
                <w:bCs/>
                <w:iCs/>
                <w:sz w:val="16"/>
                <w:szCs w:val="16"/>
              </w:rPr>
              <w:t>Муниципальный контракт  № 159</w:t>
            </w:r>
          </w:p>
          <w:p w14:paraId="0A7A4021" w14:textId="110D76B8" w:rsidR="00AF572C" w:rsidRPr="007E6024" w:rsidRDefault="000F7E7E" w:rsidP="000F7E7E">
            <w:pPr>
              <w:rPr>
                <w:b/>
                <w:bCs/>
                <w:sz w:val="22"/>
                <w:szCs w:val="22"/>
              </w:rPr>
            </w:pPr>
            <w:r w:rsidRPr="000F7E7E">
              <w:rPr>
                <w:bCs/>
                <w:iCs/>
                <w:sz w:val="16"/>
                <w:szCs w:val="16"/>
              </w:rPr>
              <w:t>на выполнение работ по благоустройс</w:t>
            </w:r>
            <w:r>
              <w:rPr>
                <w:bCs/>
                <w:iCs/>
                <w:sz w:val="16"/>
                <w:szCs w:val="16"/>
              </w:rPr>
              <w:t>тву общественного пространства «</w:t>
            </w:r>
            <w:r w:rsidRPr="000F7E7E">
              <w:rPr>
                <w:bCs/>
                <w:iCs/>
                <w:sz w:val="16"/>
                <w:szCs w:val="16"/>
              </w:rPr>
              <w:t xml:space="preserve">Универсальная спортивная площадка с хоккейной коробкой, </w:t>
            </w:r>
            <w:proofErr w:type="spellStart"/>
            <w:r w:rsidRPr="000F7E7E">
              <w:rPr>
                <w:bCs/>
                <w:iCs/>
                <w:sz w:val="16"/>
                <w:szCs w:val="16"/>
              </w:rPr>
              <w:t>скейт</w:t>
            </w:r>
            <w:proofErr w:type="spellEnd"/>
            <w:r w:rsidRPr="000F7E7E">
              <w:rPr>
                <w:bCs/>
                <w:iCs/>
                <w:sz w:val="16"/>
                <w:szCs w:val="16"/>
              </w:rPr>
              <w:t xml:space="preserve">-площадкой, </w:t>
            </w:r>
            <w:proofErr w:type="spellStart"/>
            <w:r w:rsidRPr="000F7E7E">
              <w:rPr>
                <w:bCs/>
                <w:iCs/>
                <w:sz w:val="16"/>
                <w:szCs w:val="16"/>
              </w:rPr>
              <w:t>воркаутом</w:t>
            </w:r>
            <w:proofErr w:type="spellEnd"/>
            <w:r w:rsidRPr="000F7E7E">
              <w:rPr>
                <w:bCs/>
                <w:iCs/>
                <w:sz w:val="16"/>
                <w:szCs w:val="16"/>
              </w:rPr>
              <w:t xml:space="preserve"> и навесом в центре </w:t>
            </w:r>
            <w:proofErr w:type="spellStart"/>
            <w:r w:rsidRPr="000F7E7E">
              <w:rPr>
                <w:bCs/>
                <w:iCs/>
                <w:sz w:val="16"/>
                <w:szCs w:val="16"/>
              </w:rPr>
              <w:t>г</w:t>
            </w:r>
            <w:proofErr w:type="gramStart"/>
            <w:r w:rsidRPr="000F7E7E">
              <w:rPr>
                <w:bCs/>
                <w:iCs/>
                <w:sz w:val="16"/>
                <w:szCs w:val="16"/>
              </w:rPr>
              <w:t>.В</w:t>
            </w:r>
            <w:proofErr w:type="gramEnd"/>
            <w:r>
              <w:rPr>
                <w:bCs/>
                <w:iCs/>
                <w:sz w:val="16"/>
                <w:szCs w:val="16"/>
              </w:rPr>
              <w:t>олодарска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Нижегородской области»</w:t>
            </w:r>
            <w:r w:rsidRPr="000F7E7E">
              <w:rPr>
                <w:bCs/>
                <w:iCs/>
                <w:sz w:val="16"/>
                <w:szCs w:val="16"/>
              </w:rPr>
              <w:t xml:space="preserve"> от 12.12.2023 на сумму 24,1  млн. руб.</w:t>
            </w:r>
          </w:p>
        </w:tc>
        <w:tc>
          <w:tcPr>
            <w:tcW w:w="4182" w:type="dxa"/>
          </w:tcPr>
          <w:p w14:paraId="0EFAF504" w14:textId="5B7CD03C" w:rsidR="00AF572C" w:rsidRPr="000F7E7E" w:rsidRDefault="000F7E7E" w:rsidP="004158BF">
            <w:pPr>
              <w:rPr>
                <w:b/>
                <w:bCs/>
                <w:sz w:val="16"/>
                <w:szCs w:val="16"/>
              </w:rPr>
            </w:pPr>
            <w:r w:rsidRPr="000F7E7E">
              <w:rPr>
                <w:iCs/>
                <w:sz w:val="16"/>
                <w:szCs w:val="16"/>
              </w:rPr>
              <w:t>В  2024 году в рамках муниципальной программы «Формирование современной городской среды было заключено 2 муниципальных контракта</w:t>
            </w:r>
          </w:p>
        </w:tc>
        <w:tc>
          <w:tcPr>
            <w:tcW w:w="1389" w:type="dxa"/>
          </w:tcPr>
          <w:p w14:paraId="4C964D11" w14:textId="77777777" w:rsidR="00AF572C" w:rsidRPr="000F7E7E" w:rsidRDefault="00AF572C" w:rsidP="00CD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8505D" w14:paraId="5BA22D33" w14:textId="77777777" w:rsidTr="0017222B">
        <w:tc>
          <w:tcPr>
            <w:tcW w:w="1118" w:type="dxa"/>
          </w:tcPr>
          <w:p w14:paraId="120434B1" w14:textId="77777777" w:rsidR="00F8505D" w:rsidRPr="005C0777" w:rsidRDefault="00F8505D" w:rsidP="00115D5A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76" w:type="dxa"/>
          </w:tcPr>
          <w:p w14:paraId="46661C34" w14:textId="77777777" w:rsidR="00F8505D" w:rsidRDefault="00F8505D" w:rsidP="00115D5A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F8505D" w:rsidRDefault="00F8505D" w:rsidP="00115D5A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753D4AD2" w14:textId="293859BB" w:rsidR="000F7E7E" w:rsidRPr="000F7E7E" w:rsidRDefault="000F7E7E" w:rsidP="000F7E7E">
            <w:pPr>
              <w:rPr>
                <w:iCs/>
                <w:sz w:val="16"/>
                <w:szCs w:val="16"/>
              </w:rPr>
            </w:pPr>
            <w:r w:rsidRPr="000F7E7E">
              <w:rPr>
                <w:iCs/>
                <w:sz w:val="16"/>
                <w:szCs w:val="16"/>
              </w:rPr>
              <w:t>Перевозка пассажиров находится в частной собственности 100 %</w:t>
            </w:r>
            <w:r w:rsidR="00C5672D">
              <w:rPr>
                <w:iCs/>
                <w:sz w:val="16"/>
                <w:szCs w:val="16"/>
              </w:rPr>
              <w:t>, а именно:</w:t>
            </w:r>
          </w:p>
          <w:p w14:paraId="4B6C4BBB" w14:textId="09385A8A" w:rsidR="000F7E7E" w:rsidRPr="000F7E7E" w:rsidRDefault="00C5672D" w:rsidP="000F7E7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-ООО «</w:t>
            </w:r>
            <w:r w:rsidR="000F7E7E" w:rsidRPr="000F7E7E">
              <w:rPr>
                <w:iCs/>
                <w:sz w:val="16"/>
                <w:szCs w:val="16"/>
              </w:rPr>
              <w:t>Компания Тройка</w:t>
            </w:r>
            <w:r>
              <w:rPr>
                <w:iCs/>
                <w:sz w:val="16"/>
                <w:szCs w:val="16"/>
              </w:rPr>
              <w:t xml:space="preserve">» перевезено </w:t>
            </w:r>
            <w:r w:rsidR="000F7E7E" w:rsidRPr="000F7E7E">
              <w:rPr>
                <w:iCs/>
                <w:sz w:val="16"/>
                <w:szCs w:val="16"/>
              </w:rPr>
              <w:t>133387</w:t>
            </w:r>
            <w:r>
              <w:rPr>
                <w:iCs/>
                <w:sz w:val="16"/>
                <w:szCs w:val="16"/>
              </w:rPr>
              <w:t xml:space="preserve"> </w:t>
            </w:r>
            <w:r w:rsidR="000F7E7E" w:rsidRPr="000F7E7E">
              <w:rPr>
                <w:iCs/>
                <w:sz w:val="16"/>
                <w:szCs w:val="16"/>
              </w:rPr>
              <w:t>чел.</w:t>
            </w:r>
            <w:r>
              <w:rPr>
                <w:iCs/>
                <w:sz w:val="16"/>
                <w:szCs w:val="16"/>
              </w:rPr>
              <w:t>;</w:t>
            </w:r>
          </w:p>
          <w:p w14:paraId="14A21F13" w14:textId="51F621EB" w:rsidR="000F7E7E" w:rsidRPr="000F7E7E" w:rsidRDefault="00C5672D" w:rsidP="000F7E7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-ИП Ерохина перевезено </w:t>
            </w:r>
            <w:r w:rsidR="000F7E7E" w:rsidRPr="000F7E7E">
              <w:rPr>
                <w:iCs/>
                <w:sz w:val="16"/>
                <w:szCs w:val="16"/>
              </w:rPr>
              <w:t xml:space="preserve"> 94912чел.</w:t>
            </w:r>
            <w:r>
              <w:rPr>
                <w:iCs/>
                <w:sz w:val="16"/>
                <w:szCs w:val="16"/>
              </w:rPr>
              <w:t>;</w:t>
            </w:r>
          </w:p>
          <w:p w14:paraId="0EB0296B" w14:textId="68E6978E" w:rsidR="00F8505D" w:rsidRPr="007E6024" w:rsidRDefault="00C5672D" w:rsidP="00C5672D">
            <w:pPr>
              <w:rPr>
                <w:i/>
                <w:iCs/>
                <w:color w:val="7030A0"/>
                <w:sz w:val="20"/>
              </w:rPr>
            </w:pPr>
            <w:r>
              <w:rPr>
                <w:iCs/>
                <w:sz w:val="16"/>
                <w:szCs w:val="16"/>
              </w:rPr>
              <w:t xml:space="preserve">-ИП Вавилова  перевезено </w:t>
            </w:r>
            <w:r w:rsidR="000F7E7E" w:rsidRPr="000F7E7E">
              <w:rPr>
                <w:iCs/>
                <w:sz w:val="16"/>
                <w:szCs w:val="16"/>
              </w:rPr>
              <w:t>91795чел.</w:t>
            </w:r>
          </w:p>
        </w:tc>
        <w:tc>
          <w:tcPr>
            <w:tcW w:w="4182" w:type="dxa"/>
          </w:tcPr>
          <w:p w14:paraId="1731B43B" w14:textId="6F012E83" w:rsidR="00F8505D" w:rsidRPr="000F7E7E" w:rsidRDefault="000F7E7E" w:rsidP="00115D5A">
            <w:pPr>
              <w:rPr>
                <w:i/>
                <w:iCs/>
                <w:color w:val="7030A0"/>
                <w:sz w:val="16"/>
                <w:szCs w:val="16"/>
              </w:rPr>
            </w:pPr>
            <w:r w:rsidRPr="000F7E7E">
              <w:rPr>
                <w:sz w:val="16"/>
                <w:szCs w:val="16"/>
              </w:rPr>
              <w:t xml:space="preserve">Общее количество перевезенных пассажиров  </w:t>
            </w:r>
            <w:r>
              <w:rPr>
                <w:sz w:val="16"/>
                <w:szCs w:val="16"/>
              </w:rPr>
              <w:t>-</w:t>
            </w:r>
            <w:r w:rsidRPr="000F7E7E">
              <w:rPr>
                <w:sz w:val="16"/>
                <w:szCs w:val="16"/>
              </w:rPr>
              <w:t xml:space="preserve"> </w:t>
            </w:r>
            <w:r w:rsidRPr="000F7E7E">
              <w:rPr>
                <w:iCs/>
                <w:sz w:val="16"/>
                <w:szCs w:val="16"/>
              </w:rPr>
              <w:t>320094 чел.</w:t>
            </w:r>
          </w:p>
        </w:tc>
        <w:tc>
          <w:tcPr>
            <w:tcW w:w="1389" w:type="dxa"/>
          </w:tcPr>
          <w:p w14:paraId="68DC0469" w14:textId="4040C624" w:rsidR="00F8505D" w:rsidRPr="000F7E7E" w:rsidRDefault="000F7E7E" w:rsidP="00115D5A">
            <w:pPr>
              <w:jc w:val="center"/>
              <w:rPr>
                <w:b/>
                <w:bCs/>
                <w:sz w:val="16"/>
                <w:szCs w:val="16"/>
              </w:rPr>
            </w:pPr>
            <w:r w:rsidRPr="000F7E7E"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AF572C" w14:paraId="60E60A8E" w14:textId="77777777" w:rsidTr="0017222B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0491048F" w14:textId="254AF02F" w:rsidR="00AF572C" w:rsidRPr="00C35C70" w:rsidRDefault="00C35C70" w:rsidP="004158BF">
            <w:pPr>
              <w:rPr>
                <w:iCs/>
                <w:color w:val="7030A0"/>
                <w:sz w:val="16"/>
                <w:szCs w:val="16"/>
              </w:rPr>
            </w:pPr>
            <w:r w:rsidRPr="00C35C70">
              <w:rPr>
                <w:iCs/>
                <w:sz w:val="16"/>
                <w:szCs w:val="16"/>
              </w:rPr>
              <w:t>В Володарском муниципа</w:t>
            </w:r>
            <w:r>
              <w:rPr>
                <w:iCs/>
                <w:sz w:val="16"/>
                <w:szCs w:val="16"/>
              </w:rPr>
              <w:t>льном округе зарегистрировано 14</w:t>
            </w:r>
            <w:r w:rsidRPr="00C35C70">
              <w:rPr>
                <w:iCs/>
                <w:sz w:val="16"/>
                <w:szCs w:val="16"/>
              </w:rPr>
              <w:t xml:space="preserve"> организаций, основным видом деятельности  которых является  73.1 Деятельность рекламная</w:t>
            </w:r>
          </w:p>
        </w:tc>
        <w:tc>
          <w:tcPr>
            <w:tcW w:w="4182" w:type="dxa"/>
          </w:tcPr>
          <w:p w14:paraId="4A68822B" w14:textId="4BC22337" w:rsidR="00AF572C" w:rsidRPr="00C35C70" w:rsidRDefault="00C35C70" w:rsidP="00C35C70">
            <w:pPr>
              <w:jc w:val="center"/>
              <w:rPr>
                <w:iCs/>
                <w:color w:val="7030A0"/>
                <w:sz w:val="16"/>
                <w:szCs w:val="16"/>
              </w:rPr>
            </w:pPr>
            <w:r w:rsidRPr="00C35C70">
              <w:rPr>
                <w:iCs/>
                <w:sz w:val="16"/>
                <w:szCs w:val="16"/>
              </w:rPr>
              <w:t>14</w:t>
            </w:r>
            <w:r>
              <w:rPr>
                <w:iCs/>
                <w:sz w:val="16"/>
                <w:szCs w:val="16"/>
              </w:rPr>
              <w:t xml:space="preserve"> организаций</w:t>
            </w:r>
          </w:p>
        </w:tc>
        <w:tc>
          <w:tcPr>
            <w:tcW w:w="1389" w:type="dxa"/>
          </w:tcPr>
          <w:p w14:paraId="26568982" w14:textId="36C8ADD9" w:rsidR="00AF572C" w:rsidRPr="00C35C70" w:rsidRDefault="00C35C70" w:rsidP="00C5739F">
            <w:pPr>
              <w:jc w:val="center"/>
              <w:rPr>
                <w:b/>
                <w:bCs/>
                <w:sz w:val="16"/>
                <w:szCs w:val="16"/>
              </w:rPr>
            </w:pPr>
            <w:r w:rsidRPr="00C35C70">
              <w:rPr>
                <w:b/>
                <w:bCs/>
                <w:sz w:val="16"/>
                <w:szCs w:val="16"/>
              </w:rPr>
              <w:t>100</w:t>
            </w:r>
          </w:p>
        </w:tc>
      </w:tr>
    </w:tbl>
    <w:p w14:paraId="4373B638" w14:textId="77777777" w:rsidR="0017222B" w:rsidRDefault="0017222B" w:rsidP="0017222B"/>
    <w:p w14:paraId="615CDCC7" w14:textId="1CCB1330" w:rsidR="007E6024" w:rsidRPr="00EF3BE2" w:rsidRDefault="0017222B" w:rsidP="007E6024">
      <w:pPr>
        <w:rPr>
          <w:sz w:val="24"/>
          <w:szCs w:val="24"/>
        </w:rPr>
      </w:pPr>
      <w:r>
        <w:lastRenderedPageBreak/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p w14:paraId="428EBB59" w14:textId="77777777" w:rsidR="007E6024" w:rsidRDefault="007E6024" w:rsidP="007E6024">
      <w:pPr>
        <w:rPr>
          <w:sz w:val="18"/>
          <w:szCs w:val="18"/>
        </w:rPr>
      </w:pPr>
    </w:p>
    <w:p w14:paraId="78B6253D" w14:textId="77777777" w:rsidR="007E6024" w:rsidRDefault="007E6024" w:rsidP="007E6024">
      <w:pPr>
        <w:rPr>
          <w:sz w:val="18"/>
          <w:szCs w:val="18"/>
        </w:rPr>
      </w:pPr>
    </w:p>
    <w:p w14:paraId="25C5CF7B" w14:textId="77777777" w:rsidR="007E6024" w:rsidRPr="0091041C" w:rsidRDefault="007E6024" w:rsidP="007E6024">
      <w:pPr>
        <w:jc w:val="center"/>
        <w:rPr>
          <w:b/>
          <w:szCs w:val="28"/>
        </w:rPr>
      </w:pPr>
      <w:r w:rsidRPr="0091041C">
        <w:rPr>
          <w:b/>
          <w:szCs w:val="28"/>
        </w:rPr>
        <w:t>Муниципальный план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4962"/>
        <w:gridCol w:w="3260"/>
        <w:gridCol w:w="1701"/>
      </w:tblGrid>
      <w:tr w:rsidR="007E6024" w:rsidRPr="0091041C" w14:paraId="18B91923" w14:textId="77777777" w:rsidTr="00115D5A">
        <w:trPr>
          <w:trHeight w:val="1288"/>
        </w:trPr>
        <w:tc>
          <w:tcPr>
            <w:tcW w:w="993" w:type="dxa"/>
          </w:tcPr>
          <w:p w14:paraId="30B55589" w14:textId="77777777" w:rsidR="007E6024" w:rsidRPr="0091041C" w:rsidRDefault="007E6024" w:rsidP="00115D5A">
            <w:pPr>
              <w:jc w:val="center"/>
              <w:rPr>
                <w:sz w:val="22"/>
                <w:szCs w:val="22"/>
              </w:rPr>
            </w:pPr>
            <w:r w:rsidRPr="0091041C">
              <w:rPr>
                <w:sz w:val="22"/>
                <w:szCs w:val="22"/>
              </w:rPr>
              <w:t xml:space="preserve">№ </w:t>
            </w:r>
            <w:proofErr w:type="gramStart"/>
            <w:r w:rsidRPr="0091041C">
              <w:rPr>
                <w:sz w:val="22"/>
                <w:szCs w:val="22"/>
              </w:rPr>
              <w:t>п</w:t>
            </w:r>
            <w:proofErr w:type="gramEnd"/>
            <w:r w:rsidRPr="0091041C">
              <w:rPr>
                <w:sz w:val="22"/>
                <w:szCs w:val="22"/>
              </w:rPr>
              <w:t xml:space="preserve">/п плана </w:t>
            </w:r>
            <w:r w:rsidRPr="0091041C">
              <w:rPr>
                <w:sz w:val="18"/>
                <w:szCs w:val="18"/>
              </w:rPr>
              <w:t>(номер пункта дорожной карты)</w:t>
            </w:r>
          </w:p>
        </w:tc>
        <w:tc>
          <w:tcPr>
            <w:tcW w:w="4394" w:type="dxa"/>
          </w:tcPr>
          <w:p w14:paraId="379F36EC" w14:textId="77777777" w:rsidR="007E6024" w:rsidRPr="0091041C" w:rsidRDefault="007E6024" w:rsidP="00115D5A">
            <w:pPr>
              <w:jc w:val="center"/>
              <w:rPr>
                <w:sz w:val="20"/>
              </w:rPr>
            </w:pPr>
          </w:p>
          <w:p w14:paraId="720AC084" w14:textId="77777777" w:rsidR="007E6024" w:rsidRPr="0091041C" w:rsidRDefault="007E6024" w:rsidP="00115D5A">
            <w:pPr>
              <w:jc w:val="center"/>
              <w:rPr>
                <w:sz w:val="20"/>
              </w:rPr>
            </w:pPr>
            <w:r w:rsidRPr="0091041C">
              <w:rPr>
                <w:sz w:val="20"/>
              </w:rPr>
              <w:t>Наименование мероприятия «дорожной карты»</w:t>
            </w:r>
          </w:p>
        </w:tc>
        <w:tc>
          <w:tcPr>
            <w:tcW w:w="4962" w:type="dxa"/>
          </w:tcPr>
          <w:p w14:paraId="21887E6B" w14:textId="77777777" w:rsidR="007E6024" w:rsidRPr="0091041C" w:rsidRDefault="007E6024" w:rsidP="00115D5A">
            <w:pPr>
              <w:jc w:val="center"/>
              <w:rPr>
                <w:sz w:val="20"/>
              </w:rPr>
            </w:pPr>
          </w:p>
          <w:p w14:paraId="0C668918" w14:textId="77777777" w:rsidR="007E6024" w:rsidRPr="0091041C" w:rsidRDefault="007E6024" w:rsidP="00115D5A">
            <w:pPr>
              <w:jc w:val="center"/>
              <w:rPr>
                <w:sz w:val="20"/>
              </w:rPr>
            </w:pPr>
            <w:r w:rsidRPr="0091041C">
              <w:rPr>
                <w:sz w:val="20"/>
              </w:rPr>
              <w:t xml:space="preserve">Фактический результат выполнения мероприятия       </w:t>
            </w:r>
          </w:p>
          <w:p w14:paraId="54A6165D" w14:textId="6421CCBE" w:rsidR="007E6024" w:rsidRPr="0091041C" w:rsidRDefault="007E6024" w:rsidP="00115D5A">
            <w:pPr>
              <w:jc w:val="center"/>
              <w:rPr>
                <w:sz w:val="20"/>
              </w:rPr>
            </w:pPr>
            <w:r w:rsidRPr="0091041C">
              <w:rPr>
                <w:sz w:val="20"/>
              </w:rPr>
              <w:t>(</w:t>
            </w:r>
            <w:r>
              <w:rPr>
                <w:i/>
                <w:sz w:val="20"/>
              </w:rPr>
              <w:t>по состоянию на 01.01.2025</w:t>
            </w:r>
            <w:r w:rsidRPr="0091041C">
              <w:rPr>
                <w:i/>
                <w:sz w:val="20"/>
              </w:rPr>
              <w:t>г.</w:t>
            </w:r>
            <w:r w:rsidRPr="0091041C">
              <w:rPr>
                <w:sz w:val="20"/>
              </w:rPr>
              <w:t>)</w:t>
            </w:r>
          </w:p>
        </w:tc>
        <w:tc>
          <w:tcPr>
            <w:tcW w:w="3260" w:type="dxa"/>
          </w:tcPr>
          <w:p w14:paraId="02B4D3EB" w14:textId="77777777" w:rsidR="007E6024" w:rsidRPr="0091041C" w:rsidRDefault="007E6024" w:rsidP="00115D5A">
            <w:pPr>
              <w:jc w:val="center"/>
              <w:rPr>
                <w:sz w:val="20"/>
              </w:rPr>
            </w:pPr>
          </w:p>
          <w:p w14:paraId="6E328196" w14:textId="77777777" w:rsidR="007E6024" w:rsidRPr="0091041C" w:rsidRDefault="007E6024" w:rsidP="00115D5A">
            <w:pPr>
              <w:jc w:val="center"/>
              <w:rPr>
                <w:sz w:val="20"/>
              </w:rPr>
            </w:pPr>
            <w:r w:rsidRPr="0091041C">
              <w:rPr>
                <w:sz w:val="20"/>
              </w:rPr>
              <w:t>Наименование целевого показателя                                    (</w:t>
            </w:r>
            <w:r w:rsidRPr="0091041C">
              <w:rPr>
                <w:i/>
                <w:sz w:val="20"/>
              </w:rPr>
              <w:t>в соответствии с «дорожной картой»)</w:t>
            </w:r>
          </w:p>
        </w:tc>
        <w:tc>
          <w:tcPr>
            <w:tcW w:w="1701" w:type="dxa"/>
          </w:tcPr>
          <w:p w14:paraId="22A23F92" w14:textId="139C723A" w:rsidR="007E6024" w:rsidRPr="0091041C" w:rsidRDefault="007E6024" w:rsidP="00115D5A">
            <w:pPr>
              <w:jc w:val="center"/>
              <w:rPr>
                <w:sz w:val="18"/>
                <w:szCs w:val="18"/>
              </w:rPr>
            </w:pPr>
            <w:r w:rsidRPr="0091041C">
              <w:rPr>
                <w:sz w:val="18"/>
                <w:szCs w:val="18"/>
              </w:rPr>
              <w:t xml:space="preserve">Фактическое значение </w:t>
            </w:r>
            <w:r w:rsidRPr="0091041C">
              <w:rPr>
                <w:b/>
                <w:sz w:val="18"/>
                <w:szCs w:val="18"/>
              </w:rPr>
              <w:t xml:space="preserve">за январь - </w:t>
            </w:r>
            <w:r>
              <w:rPr>
                <w:b/>
                <w:sz w:val="18"/>
                <w:szCs w:val="18"/>
              </w:rPr>
              <w:t>декабрь</w:t>
            </w:r>
            <w:r w:rsidRPr="0091041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2024</w:t>
            </w:r>
            <w:r w:rsidRPr="0091041C">
              <w:rPr>
                <w:b/>
                <w:sz w:val="18"/>
                <w:szCs w:val="18"/>
              </w:rPr>
              <w:t xml:space="preserve"> года</w:t>
            </w:r>
          </w:p>
          <w:p w14:paraId="456D99FB" w14:textId="4AED2B0F" w:rsidR="007E6024" w:rsidRPr="0091041C" w:rsidRDefault="007E6024" w:rsidP="00115D5A">
            <w:pPr>
              <w:jc w:val="center"/>
              <w:rPr>
                <w:sz w:val="20"/>
              </w:rPr>
            </w:pPr>
            <w:r w:rsidRPr="0091041C">
              <w:rPr>
                <w:i/>
                <w:sz w:val="18"/>
                <w:szCs w:val="18"/>
              </w:rPr>
              <w:t>(по состоянию на 01.0</w:t>
            </w:r>
            <w:r>
              <w:rPr>
                <w:i/>
                <w:sz w:val="18"/>
                <w:szCs w:val="18"/>
              </w:rPr>
              <w:t>1.2025</w:t>
            </w:r>
            <w:r w:rsidRPr="0091041C">
              <w:rPr>
                <w:i/>
                <w:sz w:val="18"/>
                <w:szCs w:val="18"/>
              </w:rPr>
              <w:t>г.)</w:t>
            </w:r>
          </w:p>
        </w:tc>
      </w:tr>
      <w:tr w:rsidR="007E6024" w:rsidRPr="0091041C" w14:paraId="609CC35F" w14:textId="77777777" w:rsidTr="00115D5A">
        <w:tc>
          <w:tcPr>
            <w:tcW w:w="993" w:type="dxa"/>
          </w:tcPr>
          <w:p w14:paraId="10061D39" w14:textId="77777777" w:rsidR="007E6024" w:rsidRPr="00D70B95" w:rsidRDefault="007E6024" w:rsidP="00115D5A">
            <w:pPr>
              <w:rPr>
                <w:b/>
                <w:sz w:val="20"/>
              </w:rPr>
            </w:pPr>
            <w:r w:rsidRPr="00D70B95">
              <w:rPr>
                <w:b/>
                <w:sz w:val="20"/>
              </w:rPr>
              <w:t>1.1.2</w:t>
            </w:r>
          </w:p>
        </w:tc>
        <w:tc>
          <w:tcPr>
            <w:tcW w:w="4394" w:type="dxa"/>
          </w:tcPr>
          <w:p w14:paraId="559BCE73" w14:textId="77777777" w:rsidR="007E6024" w:rsidRPr="00D70B95" w:rsidRDefault="007E6024" w:rsidP="00115D5A">
            <w:pPr>
              <w:rPr>
                <w:sz w:val="18"/>
                <w:szCs w:val="18"/>
              </w:rPr>
            </w:pPr>
            <w:r w:rsidRPr="00D70B95">
              <w:rPr>
                <w:sz w:val="18"/>
                <w:szCs w:val="18"/>
              </w:rPr>
              <w:t>Создание территорий опережающего экономического развития (ТОСЭР)  в моногородах Володарского муниципального района (</w:t>
            </w:r>
            <w:proofErr w:type="spellStart"/>
            <w:r w:rsidRPr="00D70B95">
              <w:rPr>
                <w:sz w:val="18"/>
                <w:szCs w:val="18"/>
              </w:rPr>
              <w:t>г</w:t>
            </w:r>
            <w:proofErr w:type="gramStart"/>
            <w:r w:rsidRPr="00D70B95">
              <w:rPr>
                <w:sz w:val="18"/>
                <w:szCs w:val="18"/>
              </w:rPr>
              <w:t>.В</w:t>
            </w:r>
            <w:proofErr w:type="gramEnd"/>
            <w:r w:rsidRPr="00D70B95">
              <w:rPr>
                <w:sz w:val="18"/>
                <w:szCs w:val="18"/>
              </w:rPr>
              <w:t>олодарск</w:t>
            </w:r>
            <w:proofErr w:type="spellEnd"/>
            <w:r w:rsidRPr="00D70B95">
              <w:rPr>
                <w:sz w:val="18"/>
                <w:szCs w:val="18"/>
              </w:rPr>
              <w:t xml:space="preserve">, </w:t>
            </w:r>
            <w:proofErr w:type="spellStart"/>
            <w:r w:rsidRPr="00D70B95">
              <w:rPr>
                <w:sz w:val="18"/>
                <w:szCs w:val="18"/>
              </w:rPr>
              <w:t>р.п.Решетиха</w:t>
            </w:r>
            <w:proofErr w:type="spellEnd"/>
            <w:r w:rsidRPr="00D70B95">
              <w:rPr>
                <w:sz w:val="18"/>
                <w:szCs w:val="18"/>
              </w:rPr>
              <w:t xml:space="preserve">), привлечение инвесторов </w:t>
            </w:r>
          </w:p>
        </w:tc>
        <w:tc>
          <w:tcPr>
            <w:tcW w:w="4962" w:type="dxa"/>
          </w:tcPr>
          <w:p w14:paraId="72D0A45B" w14:textId="77777777" w:rsidR="00AF3A06" w:rsidRDefault="00AF3A06" w:rsidP="00115D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статус  резидентов ТОР  имеют  20</w:t>
            </w:r>
            <w:r w:rsidRPr="00325B08">
              <w:rPr>
                <w:sz w:val="16"/>
                <w:szCs w:val="16"/>
              </w:rPr>
              <w:t xml:space="preserve"> организаций, в том числе в ТОСЭР </w:t>
            </w:r>
            <w:proofErr w:type="spellStart"/>
            <w:r w:rsidRPr="00325B08">
              <w:rPr>
                <w:sz w:val="16"/>
                <w:szCs w:val="16"/>
              </w:rPr>
              <w:t>г</w:t>
            </w:r>
            <w:proofErr w:type="gramStart"/>
            <w:r w:rsidRPr="00325B08">
              <w:rPr>
                <w:sz w:val="16"/>
                <w:szCs w:val="16"/>
              </w:rPr>
              <w:t>.В</w:t>
            </w:r>
            <w:proofErr w:type="gramEnd"/>
            <w:r w:rsidRPr="00325B08">
              <w:rPr>
                <w:sz w:val="16"/>
                <w:szCs w:val="16"/>
              </w:rPr>
              <w:t>олодарск</w:t>
            </w:r>
            <w:proofErr w:type="spellEnd"/>
            <w:r w:rsidRPr="00325B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– 15 ед., ТОСЭР </w:t>
            </w:r>
            <w:proofErr w:type="spellStart"/>
            <w:r>
              <w:rPr>
                <w:sz w:val="16"/>
                <w:szCs w:val="16"/>
              </w:rPr>
              <w:t>р.п.Решетиха</w:t>
            </w:r>
            <w:proofErr w:type="spellEnd"/>
            <w:r>
              <w:rPr>
                <w:sz w:val="16"/>
                <w:szCs w:val="16"/>
              </w:rPr>
              <w:t xml:space="preserve"> – 5</w:t>
            </w:r>
            <w:r w:rsidRPr="00325B08">
              <w:rPr>
                <w:sz w:val="16"/>
                <w:szCs w:val="16"/>
              </w:rPr>
              <w:t xml:space="preserve"> ед.   </w:t>
            </w:r>
          </w:p>
          <w:p w14:paraId="247FF4E9" w14:textId="77777777" w:rsidR="00AF3A06" w:rsidRDefault="00AF3A06" w:rsidP="00AF3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2024 году</w:t>
            </w:r>
            <w:r w:rsidRPr="00325B08">
              <w:rPr>
                <w:sz w:val="16"/>
                <w:szCs w:val="16"/>
              </w:rPr>
              <w:t xml:space="preserve">  получил  статус  резидента ТОР</w:t>
            </w:r>
            <w:r>
              <w:rPr>
                <w:sz w:val="16"/>
                <w:szCs w:val="16"/>
              </w:rPr>
              <w:t xml:space="preserve"> «Володарск»</w:t>
            </w:r>
            <w:r w:rsidRPr="00325B08">
              <w:rPr>
                <w:sz w:val="16"/>
                <w:szCs w:val="16"/>
              </w:rPr>
              <w:t xml:space="preserve">  ООО «</w:t>
            </w:r>
            <w:proofErr w:type="spellStart"/>
            <w:r w:rsidRPr="00325B08">
              <w:rPr>
                <w:sz w:val="16"/>
                <w:szCs w:val="16"/>
              </w:rPr>
              <w:t>Атлантис</w:t>
            </w:r>
            <w:proofErr w:type="spellEnd"/>
            <w:r w:rsidRPr="00325B08">
              <w:rPr>
                <w:sz w:val="16"/>
                <w:szCs w:val="16"/>
              </w:rPr>
              <w:t>» (пекарня, планируемый объем инвестиций 89,2 млн.</w:t>
            </w:r>
            <w:r>
              <w:rPr>
                <w:sz w:val="16"/>
                <w:szCs w:val="16"/>
              </w:rPr>
              <w:t xml:space="preserve"> </w:t>
            </w:r>
            <w:r w:rsidRPr="00325B08">
              <w:rPr>
                <w:sz w:val="16"/>
                <w:szCs w:val="16"/>
              </w:rPr>
              <w:t xml:space="preserve">руб., 180 рабочих мест).  </w:t>
            </w:r>
          </w:p>
          <w:p w14:paraId="76E3F63A" w14:textId="77777777" w:rsidR="00AF3A06" w:rsidRDefault="00AF3A06" w:rsidP="00AF3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2024 году</w:t>
            </w:r>
            <w:r w:rsidRPr="00325B08">
              <w:rPr>
                <w:sz w:val="16"/>
                <w:szCs w:val="16"/>
              </w:rPr>
              <w:t xml:space="preserve">  получил</w:t>
            </w:r>
            <w:r>
              <w:rPr>
                <w:sz w:val="16"/>
                <w:szCs w:val="16"/>
              </w:rPr>
              <w:t>и</w:t>
            </w:r>
            <w:r w:rsidRPr="00325B08">
              <w:rPr>
                <w:sz w:val="16"/>
                <w:szCs w:val="16"/>
              </w:rPr>
              <w:t xml:space="preserve">  статус  резидента ТОР</w:t>
            </w:r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Решетиха</w:t>
            </w:r>
            <w:proofErr w:type="spellEnd"/>
            <w:r>
              <w:rPr>
                <w:sz w:val="16"/>
                <w:szCs w:val="16"/>
              </w:rPr>
              <w:t xml:space="preserve">»: </w:t>
            </w:r>
          </w:p>
          <w:p w14:paraId="77A81AA0" w14:textId="7E9F8681" w:rsidR="00AF3A06" w:rsidRDefault="00AF3A06" w:rsidP="00AF3A0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-ООО «Цинк </w:t>
            </w:r>
            <w:proofErr w:type="spellStart"/>
            <w:r>
              <w:rPr>
                <w:sz w:val="16"/>
                <w:szCs w:val="16"/>
              </w:rPr>
              <w:t>Пром</w:t>
            </w:r>
            <w:proofErr w:type="spellEnd"/>
            <w:r>
              <w:rPr>
                <w:sz w:val="16"/>
                <w:szCs w:val="16"/>
              </w:rPr>
              <w:t xml:space="preserve">» (производство оксида цинка, планируемый объем инвестиций 10,0 млн. руб., 20 рабочих мест); ООО «Предприятие «Шнур» (производство веревок, </w:t>
            </w:r>
            <w:proofErr w:type="spellStart"/>
            <w:r>
              <w:rPr>
                <w:sz w:val="16"/>
                <w:szCs w:val="16"/>
              </w:rPr>
              <w:t>страховочно</w:t>
            </w:r>
            <w:proofErr w:type="spellEnd"/>
            <w:r>
              <w:rPr>
                <w:sz w:val="16"/>
                <w:szCs w:val="16"/>
              </w:rPr>
              <w:t xml:space="preserve">-спасательных, статических, шнуров и веревок плетеных, планируемый объем инвестиций 90,0 млн. руб., </w:t>
            </w:r>
            <w:r w:rsidR="00115D5A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t>рабочих мест</w:t>
            </w:r>
            <w:r w:rsidR="00115D5A">
              <w:rPr>
                <w:sz w:val="16"/>
                <w:szCs w:val="16"/>
              </w:rPr>
              <w:t xml:space="preserve">). </w:t>
            </w:r>
            <w:proofErr w:type="gramEnd"/>
          </w:p>
          <w:p w14:paraId="554BFB33" w14:textId="5BE35873" w:rsidR="007E6024" w:rsidRPr="00657CB5" w:rsidRDefault="00AF3A06" w:rsidP="00AF3A06">
            <w:pPr>
              <w:rPr>
                <w:sz w:val="17"/>
                <w:szCs w:val="17"/>
              </w:rPr>
            </w:pPr>
            <w:r w:rsidRPr="00325B08">
              <w:rPr>
                <w:iCs/>
                <w:sz w:val="16"/>
                <w:szCs w:val="16"/>
              </w:rPr>
              <w:t xml:space="preserve">Постоянно проводится работа с потенциальными резидентами в части оказания содействия в реализации инвестиционных  проектов, подключению к инженерной инфраструктуре и др. </w:t>
            </w:r>
            <w:r w:rsidRPr="00325B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14:paraId="5EF0C32B" w14:textId="77777777" w:rsidR="007E6024" w:rsidRPr="006C105D" w:rsidRDefault="007E6024" w:rsidP="00115D5A">
            <w:pPr>
              <w:jc w:val="both"/>
              <w:rPr>
                <w:sz w:val="17"/>
                <w:szCs w:val="17"/>
              </w:rPr>
            </w:pPr>
            <w:r w:rsidRPr="006C105D">
              <w:rPr>
                <w:sz w:val="17"/>
                <w:szCs w:val="17"/>
              </w:rPr>
              <w:t>Количество ТОСЭР, ед.</w:t>
            </w:r>
          </w:p>
          <w:p w14:paraId="557C3B2F" w14:textId="77777777" w:rsidR="007E6024" w:rsidRPr="006C105D" w:rsidRDefault="007E6024" w:rsidP="00115D5A">
            <w:pPr>
              <w:jc w:val="both"/>
              <w:rPr>
                <w:sz w:val="17"/>
                <w:szCs w:val="17"/>
              </w:rPr>
            </w:pPr>
          </w:p>
          <w:p w14:paraId="19F76FDD" w14:textId="77777777" w:rsidR="007E6024" w:rsidRPr="006C105D" w:rsidRDefault="007E6024" w:rsidP="00115D5A">
            <w:pPr>
              <w:pStyle w:val="ConsPlusNormal"/>
              <w:jc w:val="both"/>
              <w:rPr>
                <w:sz w:val="17"/>
                <w:szCs w:val="17"/>
              </w:rPr>
            </w:pPr>
            <w:r w:rsidRPr="006C105D">
              <w:rPr>
                <w:sz w:val="17"/>
                <w:szCs w:val="17"/>
              </w:rPr>
              <w:t>Количество резидентов        ТОСЭР, ед.</w:t>
            </w:r>
          </w:p>
        </w:tc>
        <w:tc>
          <w:tcPr>
            <w:tcW w:w="1701" w:type="dxa"/>
          </w:tcPr>
          <w:p w14:paraId="448B3971" w14:textId="77777777" w:rsidR="007E6024" w:rsidRPr="0053720E" w:rsidRDefault="007E6024" w:rsidP="00115D5A">
            <w:pPr>
              <w:jc w:val="center"/>
              <w:rPr>
                <w:sz w:val="18"/>
                <w:szCs w:val="18"/>
              </w:rPr>
            </w:pPr>
            <w:r w:rsidRPr="0053720E">
              <w:rPr>
                <w:sz w:val="18"/>
                <w:szCs w:val="18"/>
              </w:rPr>
              <w:t>2</w:t>
            </w:r>
          </w:p>
          <w:p w14:paraId="2C277AD2" w14:textId="77777777" w:rsidR="007E6024" w:rsidRPr="0053720E" w:rsidRDefault="007E6024" w:rsidP="00115D5A">
            <w:pPr>
              <w:jc w:val="center"/>
              <w:rPr>
                <w:sz w:val="18"/>
                <w:szCs w:val="18"/>
              </w:rPr>
            </w:pPr>
          </w:p>
          <w:p w14:paraId="019F8ACE" w14:textId="0C58FEBC" w:rsidR="007E6024" w:rsidRPr="0053720E" w:rsidRDefault="00AF3A06" w:rsidP="0011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7E6024" w:rsidRPr="0091041C" w14:paraId="77E98AC3" w14:textId="77777777" w:rsidTr="00115D5A">
        <w:tc>
          <w:tcPr>
            <w:tcW w:w="993" w:type="dxa"/>
          </w:tcPr>
          <w:p w14:paraId="78FFF8BD" w14:textId="77777777" w:rsidR="007E6024" w:rsidRPr="008F5334" w:rsidRDefault="007E6024" w:rsidP="00115D5A">
            <w:pPr>
              <w:jc w:val="center"/>
              <w:rPr>
                <w:sz w:val="18"/>
                <w:szCs w:val="18"/>
              </w:rPr>
            </w:pPr>
            <w:r w:rsidRPr="008F5334">
              <w:rPr>
                <w:b/>
                <w:sz w:val="18"/>
                <w:szCs w:val="18"/>
              </w:rPr>
              <w:t>1.2.1</w:t>
            </w:r>
            <w:r w:rsidRPr="008F5334">
              <w:rPr>
                <w:sz w:val="18"/>
                <w:szCs w:val="18"/>
              </w:rPr>
              <w:t xml:space="preserve"> (1.3.1)</w:t>
            </w:r>
          </w:p>
        </w:tc>
        <w:tc>
          <w:tcPr>
            <w:tcW w:w="4394" w:type="dxa"/>
          </w:tcPr>
          <w:p w14:paraId="0EF65F2D" w14:textId="77777777" w:rsidR="007E6024" w:rsidRPr="008F5334" w:rsidRDefault="007E6024" w:rsidP="00115D5A">
            <w:pPr>
              <w:autoSpaceDE w:val="0"/>
              <w:autoSpaceDN w:val="0"/>
              <w:adjustRightInd w:val="0"/>
            </w:pPr>
            <w:r w:rsidRPr="008F5334">
              <w:rPr>
                <w:sz w:val="18"/>
                <w:szCs w:val="18"/>
              </w:rPr>
              <w:t xml:space="preserve">Анализ практики реализации муниципальных  функций и услуг на предмет соответствия такой практики </w:t>
            </w:r>
            <w:hyperlink r:id="rId12" w:history="1">
              <w:r w:rsidRPr="008F5334">
                <w:rPr>
                  <w:sz w:val="18"/>
                  <w:szCs w:val="18"/>
                </w:rPr>
                <w:t>статьям 15</w:t>
              </w:r>
            </w:hyperlink>
            <w:r w:rsidRPr="008F5334">
              <w:rPr>
                <w:sz w:val="18"/>
                <w:szCs w:val="18"/>
              </w:rPr>
              <w:t xml:space="preserve"> и </w:t>
            </w:r>
            <w:hyperlink r:id="rId13" w:history="1">
              <w:r w:rsidRPr="008F5334">
                <w:rPr>
                  <w:sz w:val="18"/>
                  <w:szCs w:val="18"/>
                </w:rPr>
                <w:t>16</w:t>
              </w:r>
            </w:hyperlink>
            <w:r w:rsidRPr="008F5334">
              <w:rPr>
                <w:sz w:val="18"/>
                <w:szCs w:val="18"/>
              </w:rPr>
              <w:t xml:space="preserve"> Федерального закона от 26.06.2006 г. № 135-ФЗ "О защите конкуренции"</w:t>
            </w:r>
          </w:p>
        </w:tc>
        <w:tc>
          <w:tcPr>
            <w:tcW w:w="4962" w:type="dxa"/>
          </w:tcPr>
          <w:p w14:paraId="16BDA75B" w14:textId="77777777" w:rsidR="00D578A6" w:rsidRPr="00AC493E" w:rsidRDefault="00D578A6" w:rsidP="00D578A6">
            <w:pPr>
              <w:rPr>
                <w:sz w:val="16"/>
                <w:szCs w:val="16"/>
              </w:rPr>
            </w:pPr>
            <w:proofErr w:type="gramStart"/>
            <w:r w:rsidRPr="00AC493E">
              <w:rPr>
                <w:sz w:val="16"/>
                <w:szCs w:val="16"/>
              </w:rPr>
              <w:t xml:space="preserve">Структурными подразделениями администрации Володарского муниципального округа, ответственными за оказание муниципальных услуг, организована работа по обеспечению предоставления муниципальных услуг в соответствии с перечнем услуг, утвержденным постановлением от 17.10.2018г. № 2086 «Об утверждении перечня первоочередных государственных и муниципальных услуг, оказываемых  органами местного самоуправления Володарского муниципального района Нижегородской области и подведомственными им муниципальными учреждениями, в том числе  в электронном виде». </w:t>
            </w:r>
            <w:proofErr w:type="gramEnd"/>
          </w:p>
          <w:p w14:paraId="1CAE0636" w14:textId="04CA0A3B" w:rsidR="007E6024" w:rsidRPr="00E671B3" w:rsidRDefault="00D578A6" w:rsidP="00D578A6">
            <w:pPr>
              <w:rPr>
                <w:i/>
                <w:iCs/>
                <w:color w:val="7030A0"/>
                <w:sz w:val="17"/>
                <w:szCs w:val="17"/>
              </w:rPr>
            </w:pPr>
            <w:proofErr w:type="gramStart"/>
            <w:r w:rsidRPr="00AC493E">
              <w:rPr>
                <w:sz w:val="16"/>
                <w:szCs w:val="16"/>
              </w:rPr>
              <w:t xml:space="preserve">В </w:t>
            </w:r>
            <w:r w:rsidRPr="00AC493E">
              <w:rPr>
                <w:sz w:val="16"/>
                <w:szCs w:val="16"/>
                <w:lang w:val="en-US"/>
              </w:rPr>
              <w:t>I</w:t>
            </w:r>
            <w:r w:rsidRPr="00AC493E">
              <w:rPr>
                <w:sz w:val="16"/>
                <w:szCs w:val="16"/>
              </w:rPr>
              <w:t xml:space="preserve"> полугодии текущего года    администрацией Володарского муниципального округа оказано всего услуг -  12634 ед., из них оказано услуг в электронном виде –5975 ед., что составляет  47%.  Со структурными подразделениями администрации Володарского муниципального округа проведены профилактические беседы по снижению рисков нарушений, факторов, событий и обстоятельств, которые влияют на совершение нарушений, по правильному применению законодательства и недопущению таких рисков.</w:t>
            </w:r>
            <w:proofErr w:type="gramEnd"/>
            <w:r w:rsidRPr="00AC493E">
              <w:rPr>
                <w:sz w:val="16"/>
                <w:szCs w:val="16"/>
              </w:rPr>
              <w:t xml:space="preserve"> Нарушения, допущенные органами местного самоуправления Володарского муниципального района Нижегородской области, </w:t>
            </w:r>
            <w:r w:rsidRPr="00AC493E">
              <w:rPr>
                <w:sz w:val="16"/>
                <w:szCs w:val="16"/>
              </w:rPr>
              <w:lastRenderedPageBreak/>
              <w:t>Федерального закона от 26 июля 2016 г. №135-ФЗ «О защите конкуренции» (статьи 15 и 16)  отсутствуют.</w:t>
            </w:r>
          </w:p>
        </w:tc>
        <w:tc>
          <w:tcPr>
            <w:tcW w:w="3260" w:type="dxa"/>
          </w:tcPr>
          <w:p w14:paraId="5B30F652" w14:textId="77777777" w:rsidR="007E6024" w:rsidRPr="006C105D" w:rsidRDefault="007E6024" w:rsidP="00115D5A">
            <w:pPr>
              <w:pStyle w:val="ConsPlusNormal"/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lastRenderedPageBreak/>
              <w:t>Ежегодный доклад о состоянии и развитии конкуренции на товарных рынках Володарского муниципального района Нижегородской области</w:t>
            </w:r>
          </w:p>
        </w:tc>
        <w:tc>
          <w:tcPr>
            <w:tcW w:w="1701" w:type="dxa"/>
          </w:tcPr>
          <w:p w14:paraId="0066842E" w14:textId="77777777" w:rsidR="007E6024" w:rsidRPr="008F5334" w:rsidRDefault="007E6024" w:rsidP="00115D5A">
            <w:pPr>
              <w:jc w:val="center"/>
              <w:rPr>
                <w:sz w:val="18"/>
                <w:szCs w:val="18"/>
              </w:rPr>
            </w:pPr>
          </w:p>
        </w:tc>
      </w:tr>
      <w:tr w:rsidR="007E6024" w:rsidRPr="0091041C" w14:paraId="1530D438" w14:textId="77777777" w:rsidTr="00115D5A">
        <w:tc>
          <w:tcPr>
            <w:tcW w:w="993" w:type="dxa"/>
          </w:tcPr>
          <w:p w14:paraId="557D4191" w14:textId="77777777" w:rsidR="007E6024" w:rsidRPr="00CD12D9" w:rsidRDefault="007E6024" w:rsidP="00115D5A">
            <w:pPr>
              <w:jc w:val="center"/>
              <w:rPr>
                <w:sz w:val="18"/>
                <w:szCs w:val="18"/>
              </w:rPr>
            </w:pPr>
            <w:r w:rsidRPr="00CD12D9">
              <w:rPr>
                <w:b/>
                <w:sz w:val="18"/>
                <w:szCs w:val="18"/>
              </w:rPr>
              <w:lastRenderedPageBreak/>
              <w:t xml:space="preserve">1.2.2 </w:t>
            </w:r>
            <w:r w:rsidRPr="00CD12D9">
              <w:rPr>
                <w:sz w:val="18"/>
                <w:szCs w:val="18"/>
              </w:rPr>
              <w:t>(1.3.3)</w:t>
            </w:r>
          </w:p>
        </w:tc>
        <w:tc>
          <w:tcPr>
            <w:tcW w:w="4394" w:type="dxa"/>
          </w:tcPr>
          <w:p w14:paraId="4149411A" w14:textId="77777777" w:rsidR="007E6024" w:rsidRPr="00CD12D9" w:rsidRDefault="007E6024" w:rsidP="00115D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D12D9">
              <w:rPr>
                <w:sz w:val="18"/>
                <w:szCs w:val="18"/>
              </w:rPr>
              <w:t xml:space="preserve">Проведение </w:t>
            </w:r>
            <w:proofErr w:type="gramStart"/>
            <w:r w:rsidRPr="00CD12D9">
              <w:rPr>
                <w:sz w:val="18"/>
                <w:szCs w:val="18"/>
              </w:rPr>
              <w:t>анализа влияния проектов нормативных правовых актов Володарского муниципального района Нижегородской области</w:t>
            </w:r>
            <w:proofErr w:type="gramEnd"/>
            <w:r w:rsidRPr="00CD12D9">
              <w:rPr>
                <w:sz w:val="18"/>
                <w:szCs w:val="18"/>
              </w:rPr>
              <w:t xml:space="preserve"> на состояние конкуренции при осуществлении оценки регулирующего воздействия</w:t>
            </w:r>
          </w:p>
        </w:tc>
        <w:tc>
          <w:tcPr>
            <w:tcW w:w="4962" w:type="dxa"/>
          </w:tcPr>
          <w:p w14:paraId="10652E3F" w14:textId="0BA8EA0C" w:rsidR="00115D5A" w:rsidRPr="00C15902" w:rsidRDefault="00115D5A" w:rsidP="00115D5A">
            <w:pPr>
              <w:rPr>
                <w:sz w:val="16"/>
                <w:szCs w:val="16"/>
              </w:rPr>
            </w:pPr>
            <w:r w:rsidRPr="00C15902">
              <w:rPr>
                <w:sz w:val="16"/>
                <w:szCs w:val="16"/>
              </w:rPr>
              <w:t>Проведена оценка регул</w:t>
            </w:r>
            <w:r>
              <w:rPr>
                <w:sz w:val="16"/>
                <w:szCs w:val="16"/>
              </w:rPr>
              <w:t>ирующего воздействия проекта  15</w:t>
            </w:r>
            <w:r w:rsidRPr="00C15902">
              <w:rPr>
                <w:sz w:val="16"/>
                <w:szCs w:val="16"/>
              </w:rPr>
              <w:t xml:space="preserve">  муниципальных нормативных правовых актов.  Всего в публичных конс</w:t>
            </w:r>
            <w:r>
              <w:rPr>
                <w:sz w:val="16"/>
                <w:szCs w:val="16"/>
              </w:rPr>
              <w:t xml:space="preserve">ультациях при проведении ОРВ  15 </w:t>
            </w:r>
            <w:r w:rsidRPr="00C15902">
              <w:rPr>
                <w:sz w:val="16"/>
                <w:szCs w:val="16"/>
              </w:rPr>
              <w:t xml:space="preserve"> проектов НПА поступили </w:t>
            </w:r>
            <w:r>
              <w:rPr>
                <w:sz w:val="16"/>
                <w:szCs w:val="16"/>
              </w:rPr>
              <w:t>33 опросных листа</w:t>
            </w:r>
            <w:r w:rsidRPr="00C15902">
              <w:rPr>
                <w:sz w:val="16"/>
                <w:szCs w:val="16"/>
              </w:rPr>
              <w:t>. Среднее количество участников публичных консультаций на одну проводимую процедуру ОРВ составило 2,</w:t>
            </w:r>
            <w:r>
              <w:rPr>
                <w:sz w:val="16"/>
                <w:szCs w:val="16"/>
              </w:rPr>
              <w:t>2</w:t>
            </w:r>
            <w:r w:rsidRPr="00C15902">
              <w:rPr>
                <w:sz w:val="16"/>
                <w:szCs w:val="16"/>
              </w:rPr>
              <w:t xml:space="preserve"> респондента. Количество поступивших замечаний и предложений при проведении ОРВ составило  </w:t>
            </w:r>
            <w:r>
              <w:rPr>
                <w:sz w:val="16"/>
                <w:szCs w:val="16"/>
              </w:rPr>
              <w:t>42</w:t>
            </w:r>
            <w:r w:rsidRPr="00C15902">
              <w:rPr>
                <w:sz w:val="16"/>
                <w:szCs w:val="16"/>
              </w:rPr>
              <w:t xml:space="preserve"> ед., из которых </w:t>
            </w:r>
            <w:r>
              <w:rPr>
                <w:sz w:val="16"/>
                <w:szCs w:val="16"/>
              </w:rPr>
              <w:t>22</w:t>
            </w:r>
            <w:r w:rsidRPr="00C15902">
              <w:rPr>
                <w:sz w:val="16"/>
                <w:szCs w:val="16"/>
              </w:rPr>
              <w:t xml:space="preserve"> были приняты и учтены в полном объеме или частично (</w:t>
            </w:r>
            <w:r>
              <w:rPr>
                <w:sz w:val="16"/>
                <w:szCs w:val="16"/>
              </w:rPr>
              <w:t>6</w:t>
            </w:r>
            <w:r w:rsidRPr="00C15902">
              <w:rPr>
                <w:sz w:val="16"/>
                <w:szCs w:val="16"/>
              </w:rPr>
              <w:t xml:space="preserve">0%), по остальным в отчетах о проведении публичных консультаций представлены объяснения о невозможности учета замечаний.  </w:t>
            </w:r>
          </w:p>
          <w:p w14:paraId="32534BBA" w14:textId="689B6EBB" w:rsidR="00115D5A" w:rsidRPr="00115D5A" w:rsidRDefault="00115D5A" w:rsidP="00115D5A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D578A6">
              <w:rPr>
                <w:sz w:val="16"/>
                <w:szCs w:val="16"/>
              </w:rPr>
              <w:t>Правовым управлением  администрации Володарского муниципального округа  осуществляется  правовая экспертиза  всех нормативно-правовых актов на соответствие  действующему законодательству. Без  прохождения  ОРВ   нормативно-правовые акты, оказывающие влияние на состояние конкуренции, не  утверждаются.</w:t>
            </w:r>
          </w:p>
        </w:tc>
        <w:tc>
          <w:tcPr>
            <w:tcW w:w="3260" w:type="dxa"/>
          </w:tcPr>
          <w:p w14:paraId="408CEAC6" w14:textId="77777777" w:rsidR="007E6024" w:rsidRPr="006C105D" w:rsidRDefault="007E6024" w:rsidP="00115D5A">
            <w:pPr>
              <w:pStyle w:val="ConsPlusNormal"/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t>Доля нормативных правовых актов, в отношении которых проведен анализ влияния на состояние конкуренции, в общем числе нормативных правовых актов, прошедших процедуру оценки регулирующего воздействия, %</w:t>
            </w:r>
          </w:p>
        </w:tc>
        <w:tc>
          <w:tcPr>
            <w:tcW w:w="1701" w:type="dxa"/>
          </w:tcPr>
          <w:p w14:paraId="79177D5A" w14:textId="3746E22C" w:rsidR="007E6024" w:rsidRPr="00CD12D9" w:rsidRDefault="00115D5A" w:rsidP="0011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E6024" w:rsidRPr="00917237" w14:paraId="706DE40D" w14:textId="77777777" w:rsidTr="00115D5A">
        <w:tc>
          <w:tcPr>
            <w:tcW w:w="993" w:type="dxa"/>
          </w:tcPr>
          <w:p w14:paraId="0D4A18D3" w14:textId="77777777" w:rsidR="007E6024" w:rsidRPr="0045443D" w:rsidRDefault="007E6024" w:rsidP="00115D5A">
            <w:pPr>
              <w:jc w:val="center"/>
              <w:rPr>
                <w:sz w:val="18"/>
                <w:szCs w:val="18"/>
              </w:rPr>
            </w:pPr>
            <w:r w:rsidRPr="0045443D">
              <w:rPr>
                <w:b/>
                <w:sz w:val="18"/>
                <w:szCs w:val="18"/>
              </w:rPr>
              <w:t>1.5.1</w:t>
            </w:r>
            <w:r w:rsidRPr="0045443D">
              <w:rPr>
                <w:sz w:val="18"/>
                <w:szCs w:val="18"/>
              </w:rPr>
              <w:t xml:space="preserve"> (1.8.1)</w:t>
            </w:r>
          </w:p>
        </w:tc>
        <w:tc>
          <w:tcPr>
            <w:tcW w:w="4394" w:type="dxa"/>
          </w:tcPr>
          <w:p w14:paraId="6EA71E22" w14:textId="77777777" w:rsidR="007E6024" w:rsidRPr="0045443D" w:rsidRDefault="007E6024" w:rsidP="00115D5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45443D">
              <w:rPr>
                <w:sz w:val="18"/>
                <w:szCs w:val="18"/>
              </w:rPr>
              <w:t>Разработка и проведение серии методических семинаров для сотрудников ОМСУ,  руководителей (представителей) СО НКО в малых городах и селах, субъектов МСП, участие в семинарах, организуемых ОИВ Нижегородской области</w:t>
            </w:r>
          </w:p>
        </w:tc>
        <w:tc>
          <w:tcPr>
            <w:tcW w:w="4962" w:type="dxa"/>
          </w:tcPr>
          <w:p w14:paraId="1C3BE322" w14:textId="77777777" w:rsidR="007E6024" w:rsidRPr="00E671B3" w:rsidRDefault="007E6024" w:rsidP="00115D5A">
            <w:pPr>
              <w:rPr>
                <w:i/>
                <w:iCs/>
                <w:color w:val="7030A0"/>
                <w:sz w:val="17"/>
                <w:szCs w:val="17"/>
              </w:rPr>
            </w:pPr>
          </w:p>
        </w:tc>
        <w:tc>
          <w:tcPr>
            <w:tcW w:w="3260" w:type="dxa"/>
          </w:tcPr>
          <w:p w14:paraId="40854EAB" w14:textId="77777777" w:rsidR="007E6024" w:rsidRPr="006C105D" w:rsidRDefault="007E6024" w:rsidP="00115D5A">
            <w:pPr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t>Количество проведенных семинаров, а также семинаров, в которых приняли участие СО НКО, ед.</w:t>
            </w:r>
          </w:p>
        </w:tc>
        <w:tc>
          <w:tcPr>
            <w:tcW w:w="1701" w:type="dxa"/>
          </w:tcPr>
          <w:p w14:paraId="5527BC41" w14:textId="77777777" w:rsidR="007E6024" w:rsidRPr="0045443D" w:rsidRDefault="007E6024" w:rsidP="00115D5A">
            <w:pPr>
              <w:jc w:val="center"/>
              <w:rPr>
                <w:sz w:val="20"/>
              </w:rPr>
            </w:pPr>
          </w:p>
        </w:tc>
      </w:tr>
      <w:tr w:rsidR="007E6024" w:rsidRPr="0091041C" w14:paraId="3AA23B23" w14:textId="77777777" w:rsidTr="00115D5A">
        <w:tc>
          <w:tcPr>
            <w:tcW w:w="993" w:type="dxa"/>
          </w:tcPr>
          <w:p w14:paraId="42D2A9C7" w14:textId="77777777" w:rsidR="007E6024" w:rsidRPr="00E531D4" w:rsidRDefault="007E6024" w:rsidP="00115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6" w:type="dxa"/>
            <w:gridSpan w:val="3"/>
          </w:tcPr>
          <w:p w14:paraId="26C8163B" w14:textId="77777777" w:rsidR="007E6024" w:rsidRPr="00E531D4" w:rsidRDefault="007E6024" w:rsidP="00115D5A">
            <w:pPr>
              <w:rPr>
                <w:i/>
                <w:iCs/>
                <w:color w:val="7030A0"/>
                <w:sz w:val="18"/>
                <w:szCs w:val="18"/>
              </w:rPr>
            </w:pPr>
            <w:r w:rsidRPr="00E531D4">
              <w:rPr>
                <w:b/>
                <w:sz w:val="20"/>
              </w:rPr>
              <w:t>Рынок услуг дошкольного образования</w:t>
            </w:r>
          </w:p>
        </w:tc>
        <w:tc>
          <w:tcPr>
            <w:tcW w:w="1701" w:type="dxa"/>
          </w:tcPr>
          <w:p w14:paraId="65098E3A" w14:textId="77777777" w:rsidR="007E6024" w:rsidRPr="0091041C" w:rsidRDefault="007E6024" w:rsidP="00115D5A">
            <w:pPr>
              <w:rPr>
                <w:i/>
                <w:iCs/>
                <w:color w:val="7030A0"/>
                <w:sz w:val="18"/>
                <w:szCs w:val="18"/>
                <w:highlight w:val="green"/>
              </w:rPr>
            </w:pPr>
          </w:p>
        </w:tc>
      </w:tr>
      <w:tr w:rsidR="007E6024" w:rsidRPr="0091041C" w14:paraId="1D63FF28" w14:textId="77777777" w:rsidTr="00115D5A">
        <w:tc>
          <w:tcPr>
            <w:tcW w:w="993" w:type="dxa"/>
          </w:tcPr>
          <w:p w14:paraId="7CC36F0D" w14:textId="77777777" w:rsidR="007E6024" w:rsidRPr="000D7823" w:rsidRDefault="007E6024" w:rsidP="00115D5A">
            <w:pPr>
              <w:jc w:val="center"/>
              <w:rPr>
                <w:sz w:val="18"/>
                <w:szCs w:val="18"/>
              </w:rPr>
            </w:pPr>
            <w:r w:rsidRPr="000D7823">
              <w:rPr>
                <w:b/>
                <w:sz w:val="18"/>
                <w:szCs w:val="18"/>
              </w:rPr>
              <w:t>2.1.1</w:t>
            </w:r>
            <w:r w:rsidRPr="000D7823">
              <w:rPr>
                <w:sz w:val="18"/>
                <w:szCs w:val="18"/>
              </w:rPr>
              <w:t xml:space="preserve"> (2.1.2)</w:t>
            </w:r>
          </w:p>
        </w:tc>
        <w:tc>
          <w:tcPr>
            <w:tcW w:w="4394" w:type="dxa"/>
          </w:tcPr>
          <w:p w14:paraId="70882E8B" w14:textId="77777777" w:rsidR="007E6024" w:rsidRPr="000D7823" w:rsidRDefault="007E6024" w:rsidP="00115D5A">
            <w:pPr>
              <w:jc w:val="both"/>
              <w:rPr>
                <w:sz w:val="18"/>
                <w:szCs w:val="18"/>
              </w:rPr>
            </w:pPr>
            <w:r w:rsidRPr="000D7823">
              <w:rPr>
                <w:sz w:val="18"/>
                <w:szCs w:val="18"/>
              </w:rPr>
              <w:t>Оказание методической и консультативной помощи частным образовательным организациям по вопросам организации образовательной деятельности, включая лицензирование, и порядку предоставления поддержки</w:t>
            </w:r>
          </w:p>
        </w:tc>
        <w:tc>
          <w:tcPr>
            <w:tcW w:w="4962" w:type="dxa"/>
            <w:vMerge w:val="restart"/>
          </w:tcPr>
          <w:p w14:paraId="336E8F32" w14:textId="5D0D94BB" w:rsidR="007E6024" w:rsidRPr="006E79B7" w:rsidRDefault="00115D5A" w:rsidP="00115D5A">
            <w:pPr>
              <w:rPr>
                <w:i/>
                <w:iCs/>
                <w:color w:val="7030A0"/>
                <w:sz w:val="17"/>
                <w:szCs w:val="17"/>
              </w:rPr>
            </w:pPr>
            <w:r w:rsidRPr="001713B4">
              <w:rPr>
                <w:sz w:val="16"/>
                <w:szCs w:val="16"/>
              </w:rPr>
              <w:t xml:space="preserve">Негосударственные организации, оказывающие услуги дошкольного образования детей,  на территории Володарского муниципального округа отсутствуют. Выполнение мероприятия в соответствии с муниципальным планом запланировано на 2025 год при  наличии негосударственных образовательных организаций. В  текущем году создание данных организаций не планировалось.   Необходимость создания  негосударственных образовательных организаций отсутствует, в связи с </w:t>
            </w:r>
            <w:proofErr w:type="spellStart"/>
            <w:r w:rsidRPr="001713B4">
              <w:rPr>
                <w:sz w:val="16"/>
                <w:szCs w:val="16"/>
              </w:rPr>
              <w:t>невостребованностью</w:t>
            </w:r>
            <w:proofErr w:type="spellEnd"/>
            <w:r w:rsidRPr="001713B4">
              <w:rPr>
                <w:sz w:val="16"/>
                <w:szCs w:val="16"/>
              </w:rPr>
              <w:t xml:space="preserve">  организаций частной формы собственности, оказывающих образовательные услуги.</w:t>
            </w:r>
            <w:r w:rsidRPr="005672E8">
              <w:rPr>
                <w:sz w:val="16"/>
                <w:szCs w:val="16"/>
              </w:rPr>
              <w:t xml:space="preserve"> В Володарском округе отсутствуют субъекты МСП, реализующие основные общеобразовательные программы, образовательные программы дошкольного образования.  Обращений от субъектов МСП по вопросу предоставления муниципальных помещений для оказания услуг по присмотру и уходу за детьми дошкольного возраста не поступало.  При создании таких организаций им будет  оказана консультационная и  информационная поддержка по всем вопросам ведения хозяйственной деятельности специалистами отдела муниципальных закупок и  управления образования  администрации Володарского муниципального округа, сотрудниками  МАУ «Володарский </w:t>
            </w:r>
            <w:proofErr w:type="spellStart"/>
            <w:r w:rsidRPr="005672E8">
              <w:rPr>
                <w:sz w:val="16"/>
                <w:szCs w:val="16"/>
              </w:rPr>
              <w:t>бизнесцентр</w:t>
            </w:r>
            <w:proofErr w:type="spellEnd"/>
            <w:r w:rsidRPr="005672E8">
              <w:rPr>
                <w:sz w:val="16"/>
                <w:szCs w:val="16"/>
              </w:rPr>
              <w:t xml:space="preserve">». </w:t>
            </w:r>
            <w:r w:rsidRPr="00FF55B0">
              <w:rPr>
                <w:sz w:val="16"/>
                <w:szCs w:val="16"/>
              </w:rPr>
              <w:t>При  проведении закупок для бюджетных дошкольных учреждений округа постоянно проводится консультирование субъектов предпринимательской деятельности по вопросам участия в закупках</w:t>
            </w:r>
          </w:p>
        </w:tc>
        <w:tc>
          <w:tcPr>
            <w:tcW w:w="3260" w:type="dxa"/>
            <w:vMerge w:val="restart"/>
          </w:tcPr>
          <w:p w14:paraId="33783F04" w14:textId="77777777" w:rsidR="007E6024" w:rsidRPr="006C105D" w:rsidRDefault="007E6024" w:rsidP="00115D5A">
            <w:pPr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%</w:t>
            </w:r>
          </w:p>
        </w:tc>
        <w:tc>
          <w:tcPr>
            <w:tcW w:w="1701" w:type="dxa"/>
            <w:vMerge w:val="restart"/>
          </w:tcPr>
          <w:p w14:paraId="27164BBB" w14:textId="584DD5E5" w:rsidR="007E6024" w:rsidRPr="000D7823" w:rsidRDefault="0050385D" w:rsidP="00115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E6024" w:rsidRPr="0091041C" w14:paraId="44442867" w14:textId="77777777" w:rsidTr="00115D5A">
        <w:tc>
          <w:tcPr>
            <w:tcW w:w="993" w:type="dxa"/>
          </w:tcPr>
          <w:p w14:paraId="20405A2E" w14:textId="77777777" w:rsidR="007E6024" w:rsidRPr="000D7823" w:rsidRDefault="007E6024" w:rsidP="00115D5A">
            <w:pPr>
              <w:jc w:val="center"/>
              <w:rPr>
                <w:sz w:val="18"/>
                <w:szCs w:val="18"/>
              </w:rPr>
            </w:pPr>
            <w:r w:rsidRPr="000D7823">
              <w:rPr>
                <w:b/>
                <w:sz w:val="18"/>
                <w:szCs w:val="18"/>
              </w:rPr>
              <w:t>2.1.2</w:t>
            </w:r>
            <w:r w:rsidRPr="000D7823">
              <w:rPr>
                <w:sz w:val="18"/>
                <w:szCs w:val="18"/>
              </w:rPr>
              <w:t xml:space="preserve"> (2.1.4)</w:t>
            </w:r>
          </w:p>
        </w:tc>
        <w:tc>
          <w:tcPr>
            <w:tcW w:w="4394" w:type="dxa"/>
          </w:tcPr>
          <w:p w14:paraId="5FD05679" w14:textId="77777777" w:rsidR="007E6024" w:rsidRPr="000D7823" w:rsidRDefault="007E6024" w:rsidP="00115D5A">
            <w:pPr>
              <w:jc w:val="both"/>
            </w:pPr>
            <w:r w:rsidRPr="000D7823">
              <w:rPr>
                <w:sz w:val="18"/>
                <w:szCs w:val="18"/>
              </w:rPr>
              <w:t>Консультирование субъектов предпринимательской деятельности по вопросам участия в государственных и муниципальных закупках</w:t>
            </w:r>
          </w:p>
        </w:tc>
        <w:tc>
          <w:tcPr>
            <w:tcW w:w="4962" w:type="dxa"/>
            <w:vMerge/>
          </w:tcPr>
          <w:p w14:paraId="56924FE6" w14:textId="77777777" w:rsidR="007E6024" w:rsidRPr="006E79B7" w:rsidRDefault="007E6024" w:rsidP="00115D5A">
            <w:pPr>
              <w:rPr>
                <w:i/>
                <w:iCs/>
                <w:color w:val="7030A0"/>
                <w:sz w:val="17"/>
                <w:szCs w:val="17"/>
                <w:highlight w:val="green"/>
              </w:rPr>
            </w:pPr>
          </w:p>
        </w:tc>
        <w:tc>
          <w:tcPr>
            <w:tcW w:w="3260" w:type="dxa"/>
            <w:vMerge/>
          </w:tcPr>
          <w:p w14:paraId="461012A1" w14:textId="77777777" w:rsidR="007E6024" w:rsidRPr="0091041C" w:rsidRDefault="007E6024" w:rsidP="00115D5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vMerge/>
          </w:tcPr>
          <w:p w14:paraId="71A78FCA" w14:textId="77777777" w:rsidR="007E6024" w:rsidRPr="0091041C" w:rsidRDefault="007E6024" w:rsidP="00115D5A">
            <w:pPr>
              <w:jc w:val="center"/>
              <w:rPr>
                <w:sz w:val="20"/>
                <w:highlight w:val="green"/>
              </w:rPr>
            </w:pPr>
          </w:p>
        </w:tc>
      </w:tr>
      <w:tr w:rsidR="007E6024" w:rsidRPr="0091041C" w14:paraId="21489071" w14:textId="77777777" w:rsidTr="00115D5A">
        <w:tc>
          <w:tcPr>
            <w:tcW w:w="993" w:type="dxa"/>
          </w:tcPr>
          <w:p w14:paraId="05CEC02D" w14:textId="77777777" w:rsidR="007E6024" w:rsidRPr="000D7823" w:rsidRDefault="007E6024" w:rsidP="00115D5A">
            <w:pPr>
              <w:jc w:val="center"/>
              <w:rPr>
                <w:sz w:val="18"/>
                <w:szCs w:val="18"/>
              </w:rPr>
            </w:pPr>
            <w:r w:rsidRPr="000D7823">
              <w:rPr>
                <w:b/>
                <w:sz w:val="18"/>
                <w:szCs w:val="18"/>
              </w:rPr>
              <w:t>2.1.3</w:t>
            </w:r>
            <w:r w:rsidRPr="000D7823">
              <w:rPr>
                <w:sz w:val="18"/>
                <w:szCs w:val="18"/>
              </w:rPr>
              <w:t xml:space="preserve"> (2.1.5)</w:t>
            </w:r>
          </w:p>
        </w:tc>
        <w:tc>
          <w:tcPr>
            <w:tcW w:w="4394" w:type="dxa"/>
          </w:tcPr>
          <w:p w14:paraId="67AF4022" w14:textId="77777777" w:rsidR="007E6024" w:rsidRPr="000D7823" w:rsidRDefault="007E6024" w:rsidP="00115D5A">
            <w:pPr>
              <w:jc w:val="both"/>
              <w:rPr>
                <w:sz w:val="18"/>
                <w:szCs w:val="18"/>
              </w:rPr>
            </w:pPr>
            <w:r w:rsidRPr="000D7823">
              <w:rPr>
                <w:sz w:val="18"/>
                <w:szCs w:val="18"/>
              </w:rPr>
              <w:t>Недопущение создания преимущественных условий отдельным субъектам предпринимательской деятельности при проведении конкурсных процедур</w:t>
            </w:r>
          </w:p>
        </w:tc>
        <w:tc>
          <w:tcPr>
            <w:tcW w:w="4962" w:type="dxa"/>
            <w:vMerge/>
          </w:tcPr>
          <w:p w14:paraId="493C449F" w14:textId="77777777" w:rsidR="007E6024" w:rsidRPr="006E79B7" w:rsidRDefault="007E6024" w:rsidP="00115D5A">
            <w:pPr>
              <w:rPr>
                <w:i/>
                <w:iCs/>
                <w:color w:val="7030A0"/>
                <w:sz w:val="17"/>
                <w:szCs w:val="17"/>
                <w:highlight w:val="green"/>
              </w:rPr>
            </w:pPr>
          </w:p>
        </w:tc>
        <w:tc>
          <w:tcPr>
            <w:tcW w:w="3260" w:type="dxa"/>
            <w:vMerge/>
          </w:tcPr>
          <w:p w14:paraId="282173A9" w14:textId="77777777" w:rsidR="007E6024" w:rsidRPr="0091041C" w:rsidRDefault="007E6024" w:rsidP="00115D5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vMerge/>
          </w:tcPr>
          <w:p w14:paraId="265EE374" w14:textId="77777777" w:rsidR="007E6024" w:rsidRPr="0091041C" w:rsidRDefault="007E6024" w:rsidP="00115D5A">
            <w:pPr>
              <w:jc w:val="center"/>
              <w:rPr>
                <w:sz w:val="20"/>
                <w:highlight w:val="green"/>
              </w:rPr>
            </w:pPr>
          </w:p>
        </w:tc>
      </w:tr>
      <w:tr w:rsidR="007E6024" w:rsidRPr="0091041C" w14:paraId="20E16508" w14:textId="77777777" w:rsidTr="00115D5A">
        <w:tc>
          <w:tcPr>
            <w:tcW w:w="993" w:type="dxa"/>
          </w:tcPr>
          <w:p w14:paraId="77D9F479" w14:textId="77777777" w:rsidR="007E6024" w:rsidRPr="00E531D4" w:rsidRDefault="007E6024" w:rsidP="00115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7" w:type="dxa"/>
            <w:gridSpan w:val="4"/>
          </w:tcPr>
          <w:p w14:paraId="7F84B359" w14:textId="77777777" w:rsidR="007E6024" w:rsidRPr="006E79B7" w:rsidRDefault="007E6024" w:rsidP="00115D5A">
            <w:pPr>
              <w:rPr>
                <w:i/>
                <w:iCs/>
                <w:color w:val="7030A0"/>
                <w:sz w:val="17"/>
                <w:szCs w:val="17"/>
              </w:rPr>
            </w:pPr>
            <w:r w:rsidRPr="006E79B7">
              <w:rPr>
                <w:b/>
                <w:sz w:val="17"/>
                <w:szCs w:val="17"/>
              </w:rPr>
              <w:t>Рынок услуг дополнительного образования  детей</w:t>
            </w:r>
          </w:p>
        </w:tc>
      </w:tr>
      <w:tr w:rsidR="007E6024" w:rsidRPr="0091041C" w14:paraId="5CF3C969" w14:textId="77777777" w:rsidTr="00115D5A">
        <w:tc>
          <w:tcPr>
            <w:tcW w:w="993" w:type="dxa"/>
          </w:tcPr>
          <w:p w14:paraId="01ED9596" w14:textId="77777777" w:rsidR="007E6024" w:rsidRPr="002D7C03" w:rsidRDefault="007E6024" w:rsidP="00115D5A">
            <w:pPr>
              <w:jc w:val="center"/>
              <w:rPr>
                <w:sz w:val="18"/>
                <w:szCs w:val="18"/>
              </w:rPr>
            </w:pPr>
            <w:r w:rsidRPr="002D7C03">
              <w:rPr>
                <w:b/>
                <w:sz w:val="18"/>
                <w:szCs w:val="18"/>
              </w:rPr>
              <w:t>2.2.1</w:t>
            </w:r>
            <w:r w:rsidRPr="002D7C03">
              <w:rPr>
                <w:sz w:val="18"/>
                <w:szCs w:val="18"/>
              </w:rPr>
              <w:t xml:space="preserve"> </w:t>
            </w:r>
            <w:r w:rsidRPr="002D7C03">
              <w:rPr>
                <w:sz w:val="18"/>
                <w:szCs w:val="18"/>
              </w:rPr>
              <w:lastRenderedPageBreak/>
              <w:t>(2.4.2)</w:t>
            </w:r>
          </w:p>
        </w:tc>
        <w:tc>
          <w:tcPr>
            <w:tcW w:w="4394" w:type="dxa"/>
          </w:tcPr>
          <w:p w14:paraId="12905F61" w14:textId="77777777" w:rsidR="007E6024" w:rsidRPr="002D7C03" w:rsidRDefault="007E6024" w:rsidP="00115D5A">
            <w:pPr>
              <w:rPr>
                <w:sz w:val="18"/>
                <w:szCs w:val="18"/>
              </w:rPr>
            </w:pPr>
            <w:r w:rsidRPr="002D7C03">
              <w:rPr>
                <w:sz w:val="18"/>
                <w:szCs w:val="18"/>
              </w:rPr>
              <w:lastRenderedPageBreak/>
              <w:t xml:space="preserve">Внедрение и реализация системы </w:t>
            </w:r>
            <w:r w:rsidRPr="002D7C03">
              <w:rPr>
                <w:sz w:val="18"/>
                <w:szCs w:val="18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4962" w:type="dxa"/>
            <w:vMerge w:val="restart"/>
          </w:tcPr>
          <w:p w14:paraId="47A7D572" w14:textId="13276A9F" w:rsidR="007E6024" w:rsidRPr="006E79B7" w:rsidRDefault="0050385D" w:rsidP="00115D5A">
            <w:pPr>
              <w:rPr>
                <w:color w:val="2C2D2E"/>
                <w:sz w:val="17"/>
                <w:szCs w:val="17"/>
                <w:shd w:val="clear" w:color="auto" w:fill="FFFFFF"/>
              </w:rPr>
            </w:pPr>
            <w:r w:rsidRPr="001713B4">
              <w:rPr>
                <w:color w:val="2C2D2E"/>
                <w:sz w:val="17"/>
                <w:szCs w:val="17"/>
                <w:shd w:val="clear" w:color="auto" w:fill="FFFFFF"/>
              </w:rPr>
              <w:lastRenderedPageBreak/>
              <w:t xml:space="preserve">В  Володарском округе   частные организации дополнительного </w:t>
            </w:r>
            <w:r w:rsidRPr="001713B4">
              <w:rPr>
                <w:color w:val="2C2D2E"/>
                <w:sz w:val="17"/>
                <w:szCs w:val="17"/>
                <w:shd w:val="clear" w:color="auto" w:fill="FFFFFF"/>
              </w:rPr>
              <w:lastRenderedPageBreak/>
              <w:t xml:space="preserve">образования детей деятельность не осуществляют. Потребность  в организациях частной формы собственности в данной сфере отсутствует. В МБОУ </w:t>
            </w:r>
            <w:proofErr w:type="gramStart"/>
            <w:r w:rsidRPr="001713B4">
              <w:rPr>
                <w:color w:val="2C2D2E"/>
                <w:sz w:val="17"/>
                <w:szCs w:val="17"/>
                <w:shd w:val="clear" w:color="auto" w:fill="FFFFFF"/>
              </w:rPr>
              <w:t>ДО</w:t>
            </w:r>
            <w:proofErr w:type="gramEnd"/>
            <w:r w:rsidRPr="001713B4">
              <w:rPr>
                <w:color w:val="2C2D2E"/>
                <w:sz w:val="17"/>
                <w:szCs w:val="17"/>
                <w:shd w:val="clear" w:color="auto" w:fill="FFFFFF"/>
              </w:rPr>
              <w:t xml:space="preserve">  «</w:t>
            </w:r>
            <w:proofErr w:type="gramStart"/>
            <w:r w:rsidRPr="001713B4">
              <w:rPr>
                <w:color w:val="2C2D2E"/>
                <w:sz w:val="17"/>
                <w:szCs w:val="17"/>
                <w:shd w:val="clear" w:color="auto" w:fill="FFFFFF"/>
              </w:rPr>
              <w:t>Дом</w:t>
            </w:r>
            <w:proofErr w:type="gramEnd"/>
            <w:r w:rsidRPr="001713B4">
              <w:rPr>
                <w:color w:val="2C2D2E"/>
                <w:sz w:val="17"/>
                <w:szCs w:val="17"/>
                <w:shd w:val="clear" w:color="auto" w:fill="FFFFFF"/>
              </w:rPr>
              <w:t xml:space="preserve"> детского творчества Володарского муниципального округа»  занимаются  1603 человека. </w:t>
            </w:r>
            <w:r w:rsidR="001713B4" w:rsidRPr="006E79B7">
              <w:rPr>
                <w:color w:val="2C2D2E"/>
                <w:sz w:val="17"/>
                <w:szCs w:val="17"/>
              </w:rPr>
              <w:t xml:space="preserve">Охват дополнительным образованием детей от 5 до 18 лет (совместно с учреждениями </w:t>
            </w:r>
            <w:r w:rsidR="001713B4">
              <w:rPr>
                <w:color w:val="2C2D2E"/>
                <w:sz w:val="17"/>
                <w:szCs w:val="17"/>
              </w:rPr>
              <w:t>спорта) составляет 82,3</w:t>
            </w:r>
            <w:r w:rsidR="001713B4" w:rsidRPr="006E79B7">
              <w:rPr>
                <w:color w:val="2C2D2E"/>
                <w:sz w:val="17"/>
                <w:szCs w:val="17"/>
              </w:rPr>
              <w:t> %.</w:t>
            </w:r>
            <w:r w:rsidRPr="0050385D">
              <w:rPr>
                <w:color w:val="2C2D2E"/>
                <w:sz w:val="17"/>
                <w:szCs w:val="17"/>
                <w:highlight w:val="red"/>
                <w:shd w:val="clear" w:color="auto" w:fill="FFFFFF"/>
              </w:rPr>
              <w:t xml:space="preserve"> </w:t>
            </w:r>
            <w:r w:rsidRPr="007C3FB5">
              <w:rPr>
                <w:color w:val="2C2D2E"/>
                <w:sz w:val="17"/>
                <w:szCs w:val="17"/>
                <w:shd w:val="clear" w:color="auto" w:fill="FFFFFF"/>
              </w:rPr>
              <w:t>Большая работа  велась на региональном информационном портале «Навигатор дополнительного образования детей Нижегородской области». Внеурочной деятельностью в школах  округа охвачено 100%.</w:t>
            </w:r>
            <w:r w:rsidRPr="0050385D">
              <w:rPr>
                <w:color w:val="2C2D2E"/>
                <w:sz w:val="17"/>
                <w:szCs w:val="17"/>
                <w:shd w:val="clear" w:color="auto" w:fill="FFFFFF"/>
              </w:rPr>
              <w:t xml:space="preserve">  Обеспечены равные условия участия в муниципальных закупках, информация размещается  в Единой информационной системе в сфере закупок. В Володарском округе  негосударственные организации дополнительного образования детей  отсутствуют. При осуществлении закупок бюджетными учреждениями по федеральным  законам  от 05.04.2013г. № 44-ФЗ "О контрактной системе в сфере закупок товаров, работ, услуг для обеспечения государственных и муниципальных нужд" и от 18.07.2011г. № 223-ФЗ "О закупках товаров, работ, услуг отдельными видами юридических лиц" не допускается создание преимущественных условий отдельным субъектам МСП. При осуществлении закупок малого объема  (до 600 тыс.</w:t>
            </w:r>
            <w:r>
              <w:rPr>
                <w:color w:val="2C2D2E"/>
                <w:sz w:val="17"/>
                <w:szCs w:val="17"/>
                <w:shd w:val="clear" w:color="auto" w:fill="FFFFFF"/>
              </w:rPr>
              <w:t xml:space="preserve"> </w:t>
            </w:r>
            <w:r w:rsidRPr="0050385D">
              <w:rPr>
                <w:color w:val="2C2D2E"/>
                <w:sz w:val="17"/>
                <w:szCs w:val="17"/>
                <w:shd w:val="clear" w:color="auto" w:fill="FFFFFF"/>
              </w:rPr>
              <w:t xml:space="preserve">руб.) учреждения получают согласование   главного  распорядителя  бюджетных средств.        </w:t>
            </w:r>
          </w:p>
        </w:tc>
        <w:tc>
          <w:tcPr>
            <w:tcW w:w="3260" w:type="dxa"/>
            <w:vMerge w:val="restart"/>
          </w:tcPr>
          <w:p w14:paraId="0CB452A7" w14:textId="77777777" w:rsidR="007E6024" w:rsidRPr="006C105D" w:rsidRDefault="007E6024" w:rsidP="00115D5A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C105D">
              <w:rPr>
                <w:sz w:val="16"/>
                <w:szCs w:val="16"/>
              </w:rPr>
              <w:lastRenderedPageBreak/>
              <w:t xml:space="preserve">Доля организаций частной формы </w:t>
            </w:r>
            <w:r w:rsidRPr="006C105D">
              <w:rPr>
                <w:sz w:val="16"/>
                <w:szCs w:val="16"/>
              </w:rPr>
              <w:lastRenderedPageBreak/>
              <w:t>собственности в сфере услуг дополнительного образования детей (доля численности детей, которым в отчетном периоде были оказаны услуги дополнительного образования организациями частной формы собственности, в общей численности детей, которым в отчетном периоде были оказаны услуги дополнительного образования всеми организациями (всех форм собственности), %</w:t>
            </w:r>
            <w:proofErr w:type="gramEnd"/>
          </w:p>
        </w:tc>
        <w:tc>
          <w:tcPr>
            <w:tcW w:w="1701" w:type="dxa"/>
            <w:vMerge w:val="restart"/>
          </w:tcPr>
          <w:p w14:paraId="7CD39B25" w14:textId="3D1394F3" w:rsidR="007E6024" w:rsidRPr="002D7C03" w:rsidRDefault="0050385D" w:rsidP="0011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</w:tr>
      <w:tr w:rsidR="007E6024" w:rsidRPr="0091041C" w14:paraId="28C411BE" w14:textId="77777777" w:rsidTr="00115D5A">
        <w:tc>
          <w:tcPr>
            <w:tcW w:w="993" w:type="dxa"/>
          </w:tcPr>
          <w:p w14:paraId="0F829B70" w14:textId="77777777" w:rsidR="007E6024" w:rsidRPr="002D7C03" w:rsidRDefault="007E6024" w:rsidP="00115D5A">
            <w:pPr>
              <w:jc w:val="center"/>
              <w:rPr>
                <w:sz w:val="18"/>
                <w:szCs w:val="18"/>
              </w:rPr>
            </w:pPr>
            <w:r w:rsidRPr="002D7C03">
              <w:rPr>
                <w:b/>
                <w:sz w:val="18"/>
                <w:szCs w:val="18"/>
              </w:rPr>
              <w:lastRenderedPageBreak/>
              <w:t>2.2.2</w:t>
            </w:r>
            <w:r w:rsidRPr="002D7C03">
              <w:rPr>
                <w:sz w:val="18"/>
                <w:szCs w:val="18"/>
              </w:rPr>
              <w:t xml:space="preserve"> (2.4.3)</w:t>
            </w:r>
          </w:p>
        </w:tc>
        <w:tc>
          <w:tcPr>
            <w:tcW w:w="4394" w:type="dxa"/>
          </w:tcPr>
          <w:p w14:paraId="2091C672" w14:textId="77777777" w:rsidR="007E6024" w:rsidRPr="002D7C03" w:rsidRDefault="007E6024" w:rsidP="00115D5A">
            <w:pPr>
              <w:rPr>
                <w:sz w:val="18"/>
                <w:szCs w:val="18"/>
              </w:rPr>
            </w:pPr>
            <w:r w:rsidRPr="002D7C03">
              <w:rPr>
                <w:sz w:val="18"/>
                <w:szCs w:val="18"/>
              </w:rPr>
              <w:t>Размещение в сети "Интернет" информации для потребителей о возможностях получения дополнительного образования в частных образовательных организациях</w:t>
            </w:r>
          </w:p>
        </w:tc>
        <w:tc>
          <w:tcPr>
            <w:tcW w:w="4962" w:type="dxa"/>
            <w:vMerge/>
          </w:tcPr>
          <w:p w14:paraId="1376C415" w14:textId="77777777" w:rsidR="007E6024" w:rsidRPr="006E79B7" w:rsidRDefault="007E6024" w:rsidP="00115D5A">
            <w:pPr>
              <w:rPr>
                <w:i/>
                <w:iCs/>
                <w:color w:val="7030A0"/>
                <w:sz w:val="17"/>
                <w:szCs w:val="17"/>
                <w:highlight w:val="green"/>
              </w:rPr>
            </w:pPr>
          </w:p>
        </w:tc>
        <w:tc>
          <w:tcPr>
            <w:tcW w:w="3260" w:type="dxa"/>
            <w:vMerge/>
          </w:tcPr>
          <w:p w14:paraId="4E4D03BD" w14:textId="77777777" w:rsidR="007E6024" w:rsidRPr="0091041C" w:rsidRDefault="007E6024" w:rsidP="00115D5A">
            <w:pPr>
              <w:pStyle w:val="ConsPlusNormal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  <w:vMerge/>
          </w:tcPr>
          <w:p w14:paraId="7B9546A5" w14:textId="77777777" w:rsidR="007E6024" w:rsidRPr="0091041C" w:rsidRDefault="007E6024" w:rsidP="00115D5A">
            <w:pPr>
              <w:jc w:val="center"/>
              <w:rPr>
                <w:sz w:val="20"/>
                <w:highlight w:val="green"/>
              </w:rPr>
            </w:pPr>
          </w:p>
        </w:tc>
      </w:tr>
      <w:tr w:rsidR="007E6024" w:rsidRPr="0091041C" w14:paraId="1D9595AE" w14:textId="77777777" w:rsidTr="00115D5A">
        <w:tc>
          <w:tcPr>
            <w:tcW w:w="993" w:type="dxa"/>
          </w:tcPr>
          <w:p w14:paraId="04E96BC9" w14:textId="77777777" w:rsidR="007E6024" w:rsidRPr="002D7C03" w:rsidRDefault="007E6024" w:rsidP="00115D5A">
            <w:pPr>
              <w:jc w:val="center"/>
              <w:rPr>
                <w:sz w:val="18"/>
                <w:szCs w:val="18"/>
              </w:rPr>
            </w:pPr>
            <w:r w:rsidRPr="002D7C03">
              <w:rPr>
                <w:b/>
                <w:sz w:val="18"/>
                <w:szCs w:val="18"/>
              </w:rPr>
              <w:t>2.2.3</w:t>
            </w:r>
            <w:r w:rsidRPr="002D7C03">
              <w:rPr>
                <w:sz w:val="18"/>
                <w:szCs w:val="18"/>
              </w:rPr>
              <w:t xml:space="preserve"> (2.4.4)</w:t>
            </w:r>
          </w:p>
        </w:tc>
        <w:tc>
          <w:tcPr>
            <w:tcW w:w="4394" w:type="dxa"/>
          </w:tcPr>
          <w:p w14:paraId="09D8B59F" w14:textId="77777777" w:rsidR="007E6024" w:rsidRPr="002D7C03" w:rsidRDefault="007E6024" w:rsidP="00115D5A">
            <w:pPr>
              <w:rPr>
                <w:sz w:val="18"/>
                <w:szCs w:val="18"/>
              </w:rPr>
            </w:pPr>
            <w:r w:rsidRPr="002D7C03">
              <w:rPr>
                <w:sz w:val="18"/>
                <w:szCs w:val="18"/>
              </w:rPr>
              <w:t>Консультирование субъектов предпринимательской деятельности по вопросам участия в государственных и муниципальных закупках</w:t>
            </w:r>
          </w:p>
        </w:tc>
        <w:tc>
          <w:tcPr>
            <w:tcW w:w="4962" w:type="dxa"/>
            <w:vMerge/>
          </w:tcPr>
          <w:p w14:paraId="59BC3FB2" w14:textId="77777777" w:rsidR="007E6024" w:rsidRPr="006E79B7" w:rsidRDefault="007E6024" w:rsidP="00115D5A">
            <w:pPr>
              <w:rPr>
                <w:i/>
                <w:iCs/>
                <w:color w:val="7030A0"/>
                <w:sz w:val="17"/>
                <w:szCs w:val="17"/>
                <w:highlight w:val="green"/>
              </w:rPr>
            </w:pPr>
          </w:p>
        </w:tc>
        <w:tc>
          <w:tcPr>
            <w:tcW w:w="3260" w:type="dxa"/>
            <w:vMerge/>
          </w:tcPr>
          <w:p w14:paraId="25E46C94" w14:textId="77777777" w:rsidR="007E6024" w:rsidRPr="0091041C" w:rsidRDefault="007E6024" w:rsidP="00115D5A">
            <w:pPr>
              <w:pStyle w:val="ConsPlusNormal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  <w:vMerge/>
          </w:tcPr>
          <w:p w14:paraId="4726263C" w14:textId="77777777" w:rsidR="007E6024" w:rsidRPr="0091041C" w:rsidRDefault="007E6024" w:rsidP="00115D5A">
            <w:pPr>
              <w:jc w:val="center"/>
              <w:rPr>
                <w:sz w:val="20"/>
                <w:highlight w:val="green"/>
              </w:rPr>
            </w:pPr>
          </w:p>
        </w:tc>
      </w:tr>
      <w:tr w:rsidR="007E6024" w:rsidRPr="0091041C" w14:paraId="2F6FC444" w14:textId="77777777" w:rsidTr="00115D5A">
        <w:tc>
          <w:tcPr>
            <w:tcW w:w="993" w:type="dxa"/>
          </w:tcPr>
          <w:p w14:paraId="0E9BEB70" w14:textId="77777777" w:rsidR="007E6024" w:rsidRPr="002D7C03" w:rsidRDefault="007E6024" w:rsidP="00115D5A">
            <w:pPr>
              <w:jc w:val="center"/>
              <w:rPr>
                <w:sz w:val="18"/>
                <w:szCs w:val="18"/>
              </w:rPr>
            </w:pPr>
            <w:r w:rsidRPr="002D7C03">
              <w:rPr>
                <w:b/>
                <w:sz w:val="18"/>
                <w:szCs w:val="18"/>
              </w:rPr>
              <w:t>2.2.4</w:t>
            </w:r>
            <w:r w:rsidRPr="002D7C03">
              <w:rPr>
                <w:sz w:val="18"/>
                <w:szCs w:val="18"/>
              </w:rPr>
              <w:t xml:space="preserve"> (2.4.5)</w:t>
            </w:r>
          </w:p>
        </w:tc>
        <w:tc>
          <w:tcPr>
            <w:tcW w:w="4394" w:type="dxa"/>
          </w:tcPr>
          <w:p w14:paraId="0EA3D625" w14:textId="77777777" w:rsidR="007E6024" w:rsidRPr="002D7C03" w:rsidRDefault="007E6024" w:rsidP="00115D5A">
            <w:pPr>
              <w:rPr>
                <w:sz w:val="18"/>
                <w:szCs w:val="18"/>
              </w:rPr>
            </w:pPr>
            <w:r w:rsidRPr="002D7C03">
              <w:rPr>
                <w:sz w:val="18"/>
                <w:szCs w:val="18"/>
              </w:rPr>
              <w:t>Недопущение создания преимущественных условий отдельным субъектам предпринимательской деятельности при проведении конкурсных процедур</w:t>
            </w:r>
          </w:p>
        </w:tc>
        <w:tc>
          <w:tcPr>
            <w:tcW w:w="4962" w:type="dxa"/>
            <w:vMerge/>
          </w:tcPr>
          <w:p w14:paraId="3E5B1498" w14:textId="77777777" w:rsidR="007E6024" w:rsidRPr="006E79B7" w:rsidRDefault="007E6024" w:rsidP="00115D5A">
            <w:pPr>
              <w:rPr>
                <w:i/>
                <w:iCs/>
                <w:color w:val="7030A0"/>
                <w:sz w:val="17"/>
                <w:szCs w:val="17"/>
                <w:highlight w:val="green"/>
              </w:rPr>
            </w:pPr>
          </w:p>
        </w:tc>
        <w:tc>
          <w:tcPr>
            <w:tcW w:w="3260" w:type="dxa"/>
            <w:vMerge/>
          </w:tcPr>
          <w:p w14:paraId="4731EC2D" w14:textId="77777777" w:rsidR="007E6024" w:rsidRPr="0091041C" w:rsidRDefault="007E6024" w:rsidP="00115D5A">
            <w:pPr>
              <w:pStyle w:val="ConsPlusNormal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  <w:vMerge/>
          </w:tcPr>
          <w:p w14:paraId="613E55D5" w14:textId="77777777" w:rsidR="007E6024" w:rsidRPr="0091041C" w:rsidRDefault="007E6024" w:rsidP="00115D5A">
            <w:pPr>
              <w:jc w:val="center"/>
              <w:rPr>
                <w:sz w:val="20"/>
                <w:highlight w:val="green"/>
              </w:rPr>
            </w:pPr>
          </w:p>
        </w:tc>
      </w:tr>
      <w:tr w:rsidR="007E6024" w:rsidRPr="0091041C" w14:paraId="47E8DC27" w14:textId="77777777" w:rsidTr="00115D5A">
        <w:tc>
          <w:tcPr>
            <w:tcW w:w="993" w:type="dxa"/>
          </w:tcPr>
          <w:p w14:paraId="6DC93027" w14:textId="77777777" w:rsidR="007E6024" w:rsidRPr="00E531D4" w:rsidRDefault="007E6024" w:rsidP="00115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7" w:type="dxa"/>
            <w:gridSpan w:val="4"/>
          </w:tcPr>
          <w:p w14:paraId="5A4944FF" w14:textId="77777777" w:rsidR="007E6024" w:rsidRPr="006E79B7" w:rsidRDefault="007E6024" w:rsidP="00115D5A">
            <w:pPr>
              <w:rPr>
                <w:sz w:val="17"/>
                <w:szCs w:val="17"/>
              </w:rPr>
            </w:pPr>
            <w:r w:rsidRPr="006E79B7">
              <w:rPr>
                <w:b/>
                <w:sz w:val="17"/>
                <w:szCs w:val="17"/>
              </w:rPr>
              <w:t>Рынок ритуальных услуг</w:t>
            </w:r>
          </w:p>
        </w:tc>
      </w:tr>
      <w:tr w:rsidR="007E6024" w:rsidRPr="0091041C" w14:paraId="0A3088F9" w14:textId="77777777" w:rsidTr="00115D5A">
        <w:tc>
          <w:tcPr>
            <w:tcW w:w="993" w:type="dxa"/>
          </w:tcPr>
          <w:p w14:paraId="4B52A520" w14:textId="77777777" w:rsidR="007E6024" w:rsidRPr="00141716" w:rsidRDefault="007E6024" w:rsidP="00115D5A">
            <w:pPr>
              <w:jc w:val="center"/>
              <w:rPr>
                <w:sz w:val="18"/>
                <w:szCs w:val="18"/>
              </w:rPr>
            </w:pPr>
            <w:r w:rsidRPr="00141716">
              <w:rPr>
                <w:b/>
                <w:sz w:val="18"/>
                <w:szCs w:val="18"/>
              </w:rPr>
              <w:t>2.3.3</w:t>
            </w:r>
            <w:r w:rsidRPr="00141716">
              <w:rPr>
                <w:sz w:val="18"/>
                <w:szCs w:val="18"/>
              </w:rPr>
              <w:t xml:space="preserve"> (2.10.4)</w:t>
            </w:r>
          </w:p>
        </w:tc>
        <w:tc>
          <w:tcPr>
            <w:tcW w:w="4394" w:type="dxa"/>
          </w:tcPr>
          <w:p w14:paraId="3C95981D" w14:textId="77777777" w:rsidR="007E6024" w:rsidRPr="00141716" w:rsidRDefault="007E6024" w:rsidP="00115D5A">
            <w:pPr>
              <w:rPr>
                <w:sz w:val="18"/>
                <w:szCs w:val="18"/>
              </w:rPr>
            </w:pPr>
            <w:r w:rsidRPr="00141716">
              <w:rPr>
                <w:sz w:val="18"/>
                <w:szCs w:val="18"/>
              </w:rPr>
              <w:t>Обеспечение информационной и консультационной поддержки участникам рынка</w:t>
            </w:r>
          </w:p>
        </w:tc>
        <w:tc>
          <w:tcPr>
            <w:tcW w:w="4962" w:type="dxa"/>
          </w:tcPr>
          <w:p w14:paraId="51F9620E" w14:textId="6D9E3AED" w:rsidR="007E6024" w:rsidRPr="006E79B7" w:rsidRDefault="0050385D" w:rsidP="00115D5A">
            <w:pPr>
              <w:rPr>
                <w:i/>
                <w:iCs/>
                <w:color w:val="7030A0"/>
                <w:sz w:val="17"/>
                <w:szCs w:val="17"/>
              </w:rPr>
            </w:pPr>
            <w:r w:rsidRPr="0044613A">
              <w:rPr>
                <w:sz w:val="16"/>
                <w:szCs w:val="16"/>
              </w:rPr>
              <w:t xml:space="preserve">По всем вопросам ведения хозяйственной деятельности обеспечено оказание информационной и  консультационной  поддержки организациям сферы ритуальных  услуг, которое осуществляет  МАУ «Володарский центр развития бизнеса». Администрация Володарского муниципального округа обеспечивает содержание и текущую деятельность </w:t>
            </w:r>
            <w:proofErr w:type="spellStart"/>
            <w:r w:rsidRPr="0044613A">
              <w:rPr>
                <w:sz w:val="16"/>
                <w:szCs w:val="16"/>
              </w:rPr>
              <w:t>бизнесцентра</w:t>
            </w:r>
            <w:proofErr w:type="spellEnd"/>
            <w:r w:rsidRPr="0044613A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6733A4E6" w14:textId="77777777" w:rsidR="007E6024" w:rsidRPr="006C105D" w:rsidRDefault="007E6024" w:rsidP="00115D5A">
            <w:pPr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t>Доля организаций частной формы собственности в сфере ритуальных услуг (доля выручки организаций частной формы собственности, от общего объема выручки всех хозяйствующих субъектов (всех форм собственности), за исключением выручки от оказания услуг (выполнения работ) по содержанию и благоустройству кладбищ), %</w:t>
            </w:r>
          </w:p>
        </w:tc>
        <w:tc>
          <w:tcPr>
            <w:tcW w:w="1701" w:type="dxa"/>
          </w:tcPr>
          <w:p w14:paraId="434A0863" w14:textId="6A477AE0" w:rsidR="007E6024" w:rsidRPr="00141716" w:rsidRDefault="0050385D" w:rsidP="0011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E6024" w:rsidRPr="0091041C" w14:paraId="397D1A7B" w14:textId="77777777" w:rsidTr="00115D5A">
        <w:tc>
          <w:tcPr>
            <w:tcW w:w="993" w:type="dxa"/>
          </w:tcPr>
          <w:p w14:paraId="0303651E" w14:textId="77777777" w:rsidR="007E6024" w:rsidRPr="00E531D4" w:rsidRDefault="007E6024" w:rsidP="00115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7" w:type="dxa"/>
            <w:gridSpan w:val="4"/>
          </w:tcPr>
          <w:p w14:paraId="344AED44" w14:textId="77777777" w:rsidR="007E6024" w:rsidRPr="006E79B7" w:rsidRDefault="007E6024" w:rsidP="00115D5A">
            <w:pPr>
              <w:rPr>
                <w:i/>
                <w:iCs/>
                <w:color w:val="7030A0"/>
                <w:sz w:val="17"/>
                <w:szCs w:val="17"/>
              </w:rPr>
            </w:pPr>
            <w:r w:rsidRPr="006E79B7">
              <w:rPr>
                <w:b/>
                <w:sz w:val="17"/>
                <w:szCs w:val="17"/>
              </w:rPr>
              <w:t>Рынок выполнения работ по благоустройству городской среды</w:t>
            </w:r>
          </w:p>
        </w:tc>
      </w:tr>
      <w:tr w:rsidR="007E6024" w:rsidRPr="0091041C" w14:paraId="3383AE57" w14:textId="77777777" w:rsidTr="00115D5A">
        <w:tc>
          <w:tcPr>
            <w:tcW w:w="993" w:type="dxa"/>
          </w:tcPr>
          <w:p w14:paraId="0F6DA3D3" w14:textId="77777777" w:rsidR="007E6024" w:rsidRPr="00064448" w:rsidRDefault="007E6024" w:rsidP="00115D5A">
            <w:pPr>
              <w:jc w:val="center"/>
              <w:rPr>
                <w:sz w:val="18"/>
                <w:szCs w:val="18"/>
              </w:rPr>
            </w:pPr>
            <w:r w:rsidRPr="00064448">
              <w:rPr>
                <w:b/>
                <w:sz w:val="18"/>
                <w:szCs w:val="18"/>
              </w:rPr>
              <w:t>2.4.1</w:t>
            </w:r>
            <w:r w:rsidRPr="00064448">
              <w:rPr>
                <w:sz w:val="18"/>
                <w:szCs w:val="18"/>
              </w:rPr>
              <w:t xml:space="preserve"> (2.13.1)</w:t>
            </w:r>
          </w:p>
        </w:tc>
        <w:tc>
          <w:tcPr>
            <w:tcW w:w="4394" w:type="dxa"/>
          </w:tcPr>
          <w:p w14:paraId="7C327F89" w14:textId="77777777" w:rsidR="007E6024" w:rsidRPr="00064448" w:rsidRDefault="007E6024" w:rsidP="00115D5A">
            <w:pPr>
              <w:rPr>
                <w:sz w:val="18"/>
                <w:szCs w:val="18"/>
              </w:rPr>
            </w:pPr>
            <w:r w:rsidRPr="00064448">
              <w:rPr>
                <w:sz w:val="18"/>
                <w:szCs w:val="18"/>
              </w:rPr>
              <w:t xml:space="preserve">Обеспечение доступа хозяйствующих субъектов рынка к информации о планируемых закупках в сфере проведения работ по благоустройству </w:t>
            </w:r>
          </w:p>
        </w:tc>
        <w:tc>
          <w:tcPr>
            <w:tcW w:w="4962" w:type="dxa"/>
          </w:tcPr>
          <w:p w14:paraId="38539937" w14:textId="6448D106" w:rsidR="007E6024" w:rsidRPr="006E79B7" w:rsidRDefault="00906B2D" w:rsidP="00906B2D">
            <w:pPr>
              <w:rPr>
                <w:sz w:val="17"/>
                <w:szCs w:val="17"/>
              </w:rPr>
            </w:pPr>
            <w:r w:rsidRPr="009224F0">
              <w:rPr>
                <w:sz w:val="16"/>
                <w:szCs w:val="16"/>
              </w:rPr>
              <w:t xml:space="preserve">Доступ хозяйствующих субъектов рынка </w:t>
            </w:r>
            <w:proofErr w:type="gramStart"/>
            <w:r w:rsidRPr="009224F0">
              <w:rPr>
                <w:sz w:val="16"/>
                <w:szCs w:val="16"/>
              </w:rPr>
              <w:t>к информации о планируемых закупках в сфере проведения работ по благоустройству обеспечен  в Единой информационной системе</w:t>
            </w:r>
            <w:proofErr w:type="gramEnd"/>
            <w:r w:rsidRPr="009224F0">
              <w:rPr>
                <w:sz w:val="16"/>
                <w:szCs w:val="16"/>
              </w:rPr>
              <w:t xml:space="preserve"> в сфере закупок.  </w:t>
            </w:r>
          </w:p>
        </w:tc>
        <w:tc>
          <w:tcPr>
            <w:tcW w:w="3260" w:type="dxa"/>
            <w:vMerge w:val="restart"/>
          </w:tcPr>
          <w:p w14:paraId="7A29A2ED" w14:textId="77777777" w:rsidR="007E6024" w:rsidRPr="006C105D" w:rsidRDefault="007E6024" w:rsidP="00115D5A">
            <w:pPr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t xml:space="preserve">Доля организаций частной формы собственности в сфере выполнения работ по благоустройству городской среды (доля </w:t>
            </w:r>
            <w:proofErr w:type="gramStart"/>
            <w:r w:rsidRPr="006C105D">
              <w:rPr>
                <w:sz w:val="16"/>
                <w:szCs w:val="16"/>
              </w:rPr>
              <w:t>объема выручки организаций частной формы собственности</w:t>
            </w:r>
            <w:proofErr w:type="gramEnd"/>
            <w:r w:rsidRPr="006C105D">
              <w:rPr>
                <w:sz w:val="16"/>
                <w:szCs w:val="16"/>
              </w:rPr>
              <w:t xml:space="preserve"> от общего объема выручки всех хозяйствующих субъектов), %</w:t>
            </w:r>
          </w:p>
        </w:tc>
        <w:tc>
          <w:tcPr>
            <w:tcW w:w="1701" w:type="dxa"/>
            <w:vMerge w:val="restart"/>
          </w:tcPr>
          <w:p w14:paraId="2A5C5709" w14:textId="54EF43C2" w:rsidR="007E6024" w:rsidRPr="00064448" w:rsidRDefault="0050385D" w:rsidP="0011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E6024" w:rsidRPr="0091041C" w14:paraId="5556A77D" w14:textId="77777777" w:rsidTr="00115D5A">
        <w:tc>
          <w:tcPr>
            <w:tcW w:w="993" w:type="dxa"/>
          </w:tcPr>
          <w:p w14:paraId="5DC410AD" w14:textId="77777777" w:rsidR="007E6024" w:rsidRPr="00064448" w:rsidRDefault="007E6024" w:rsidP="00115D5A">
            <w:pPr>
              <w:jc w:val="center"/>
              <w:rPr>
                <w:sz w:val="18"/>
                <w:szCs w:val="18"/>
              </w:rPr>
            </w:pPr>
            <w:r w:rsidRPr="00064448">
              <w:rPr>
                <w:b/>
                <w:sz w:val="18"/>
                <w:szCs w:val="18"/>
              </w:rPr>
              <w:t>2.4.2</w:t>
            </w:r>
            <w:r w:rsidRPr="00064448">
              <w:rPr>
                <w:sz w:val="18"/>
                <w:szCs w:val="18"/>
              </w:rPr>
              <w:t xml:space="preserve"> (2.13.2, 2.13.3)</w:t>
            </w:r>
          </w:p>
        </w:tc>
        <w:tc>
          <w:tcPr>
            <w:tcW w:w="4394" w:type="dxa"/>
          </w:tcPr>
          <w:p w14:paraId="45C0AB38" w14:textId="77777777" w:rsidR="007E6024" w:rsidRPr="00064448" w:rsidRDefault="007E6024" w:rsidP="00115D5A">
            <w:pPr>
              <w:rPr>
                <w:sz w:val="18"/>
                <w:szCs w:val="18"/>
              </w:rPr>
            </w:pPr>
            <w:r w:rsidRPr="00064448">
              <w:rPr>
                <w:sz w:val="18"/>
                <w:szCs w:val="18"/>
              </w:rPr>
              <w:t>Обеспечение равных условий участия в муниципальных закупках для всех участников рынка,  оказание консультационных услуг предпринимателям по существующим мерам поддержки бизнеса</w:t>
            </w:r>
          </w:p>
        </w:tc>
        <w:tc>
          <w:tcPr>
            <w:tcW w:w="4962" w:type="dxa"/>
          </w:tcPr>
          <w:p w14:paraId="0B754C2D" w14:textId="5BCCA553" w:rsidR="007E6024" w:rsidRPr="006E79B7" w:rsidRDefault="0050385D" w:rsidP="00115D5A">
            <w:pPr>
              <w:rPr>
                <w:sz w:val="17"/>
                <w:szCs w:val="17"/>
              </w:rPr>
            </w:pPr>
            <w:r w:rsidRPr="009224F0">
              <w:rPr>
                <w:sz w:val="16"/>
                <w:szCs w:val="16"/>
              </w:rPr>
              <w:t xml:space="preserve">Обеспечены равные условия участия в муниципальных закупках, информация размещается  в Единой информационной системе в сфере закупок. </w:t>
            </w:r>
            <w:r>
              <w:rPr>
                <w:sz w:val="16"/>
                <w:szCs w:val="16"/>
              </w:rPr>
              <w:t xml:space="preserve"> </w:t>
            </w:r>
            <w:r w:rsidRPr="009224F0">
              <w:rPr>
                <w:sz w:val="16"/>
                <w:szCs w:val="16"/>
              </w:rPr>
              <w:t xml:space="preserve">Обеспечено оказание информационной и  консультационной  поддержки организациям сферы благоустройства </w:t>
            </w:r>
            <w:r>
              <w:rPr>
                <w:sz w:val="16"/>
                <w:szCs w:val="16"/>
              </w:rPr>
              <w:t>МАУ</w:t>
            </w:r>
            <w:r w:rsidRPr="009224F0">
              <w:rPr>
                <w:sz w:val="16"/>
                <w:szCs w:val="16"/>
              </w:rPr>
              <w:t xml:space="preserve"> «Володарский центр развития бизнеса» по всем вопросам ведения хозяйственной деятельности.</w:t>
            </w:r>
          </w:p>
        </w:tc>
        <w:tc>
          <w:tcPr>
            <w:tcW w:w="3260" w:type="dxa"/>
            <w:vMerge/>
          </w:tcPr>
          <w:p w14:paraId="2DF8231B" w14:textId="77777777" w:rsidR="007E6024" w:rsidRPr="0091041C" w:rsidRDefault="007E6024" w:rsidP="00115D5A">
            <w:pPr>
              <w:pStyle w:val="ConsPlusNormal"/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  <w:vMerge/>
          </w:tcPr>
          <w:p w14:paraId="23678499" w14:textId="77777777" w:rsidR="007E6024" w:rsidRPr="0091041C" w:rsidRDefault="007E6024" w:rsidP="00115D5A">
            <w:pPr>
              <w:jc w:val="center"/>
              <w:rPr>
                <w:sz w:val="20"/>
                <w:highlight w:val="green"/>
              </w:rPr>
            </w:pPr>
          </w:p>
        </w:tc>
      </w:tr>
      <w:tr w:rsidR="007E6024" w:rsidRPr="0091041C" w14:paraId="11EEDD97" w14:textId="77777777" w:rsidTr="00115D5A">
        <w:tc>
          <w:tcPr>
            <w:tcW w:w="993" w:type="dxa"/>
          </w:tcPr>
          <w:p w14:paraId="7864524E" w14:textId="77777777" w:rsidR="007E6024" w:rsidRPr="00304D70" w:rsidRDefault="007E6024" w:rsidP="00115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6" w:type="dxa"/>
            <w:gridSpan w:val="3"/>
          </w:tcPr>
          <w:p w14:paraId="3BB669C1" w14:textId="77777777" w:rsidR="007E6024" w:rsidRPr="006E79B7" w:rsidRDefault="007E6024" w:rsidP="00115D5A">
            <w:pPr>
              <w:rPr>
                <w:i/>
                <w:iCs/>
                <w:color w:val="7030A0"/>
                <w:sz w:val="17"/>
                <w:szCs w:val="17"/>
              </w:rPr>
            </w:pPr>
            <w:r w:rsidRPr="006E79B7">
              <w:rPr>
                <w:b/>
                <w:sz w:val="17"/>
                <w:szCs w:val="17"/>
              </w:rPr>
              <w:t>Рынок поставки сжиженного газа в баллонах</w:t>
            </w:r>
          </w:p>
        </w:tc>
        <w:tc>
          <w:tcPr>
            <w:tcW w:w="1701" w:type="dxa"/>
          </w:tcPr>
          <w:p w14:paraId="6003EED9" w14:textId="77777777" w:rsidR="007E6024" w:rsidRPr="0091041C" w:rsidRDefault="007E6024" w:rsidP="00115D5A">
            <w:pPr>
              <w:rPr>
                <w:i/>
                <w:iCs/>
                <w:color w:val="7030A0"/>
                <w:sz w:val="20"/>
                <w:highlight w:val="green"/>
              </w:rPr>
            </w:pPr>
          </w:p>
        </w:tc>
      </w:tr>
      <w:tr w:rsidR="007E6024" w:rsidRPr="0091041C" w14:paraId="4C74F53C" w14:textId="77777777" w:rsidTr="00115D5A">
        <w:tc>
          <w:tcPr>
            <w:tcW w:w="993" w:type="dxa"/>
          </w:tcPr>
          <w:p w14:paraId="13B7ACC5" w14:textId="77777777" w:rsidR="007E6024" w:rsidRPr="007C76F8" w:rsidRDefault="007E6024" w:rsidP="00115D5A">
            <w:pPr>
              <w:jc w:val="center"/>
              <w:rPr>
                <w:sz w:val="18"/>
                <w:szCs w:val="18"/>
              </w:rPr>
            </w:pPr>
            <w:r w:rsidRPr="007C76F8">
              <w:rPr>
                <w:b/>
                <w:sz w:val="18"/>
                <w:szCs w:val="18"/>
              </w:rPr>
              <w:t>2.6.1</w:t>
            </w:r>
            <w:r w:rsidRPr="007C76F8">
              <w:rPr>
                <w:sz w:val="18"/>
                <w:szCs w:val="18"/>
              </w:rPr>
              <w:t xml:space="preserve"> (2.15.2)</w:t>
            </w:r>
          </w:p>
        </w:tc>
        <w:tc>
          <w:tcPr>
            <w:tcW w:w="4394" w:type="dxa"/>
          </w:tcPr>
          <w:p w14:paraId="086BBCEA" w14:textId="77777777" w:rsidR="007E6024" w:rsidRPr="007C76F8" w:rsidRDefault="007E6024" w:rsidP="00115D5A">
            <w:pPr>
              <w:rPr>
                <w:b/>
                <w:sz w:val="20"/>
              </w:rPr>
            </w:pPr>
            <w:r w:rsidRPr="007C76F8">
              <w:rPr>
                <w:sz w:val="18"/>
                <w:szCs w:val="18"/>
              </w:rPr>
              <w:t xml:space="preserve">Оказание консультационных услуг субъектам малого и среднего предпринимательства по вопросам развития собственного дела, в том числе по вопросам </w:t>
            </w:r>
            <w:r w:rsidRPr="007C76F8">
              <w:rPr>
                <w:sz w:val="18"/>
                <w:szCs w:val="18"/>
              </w:rPr>
              <w:lastRenderedPageBreak/>
              <w:t>лицензирования</w:t>
            </w:r>
          </w:p>
        </w:tc>
        <w:tc>
          <w:tcPr>
            <w:tcW w:w="4962" w:type="dxa"/>
          </w:tcPr>
          <w:p w14:paraId="283B0B17" w14:textId="6E2A7A6F" w:rsidR="007E6024" w:rsidRPr="006E79B7" w:rsidRDefault="0050385D" w:rsidP="00115D5A">
            <w:pPr>
              <w:rPr>
                <w:i/>
                <w:iCs/>
                <w:color w:val="7030A0"/>
                <w:sz w:val="17"/>
                <w:szCs w:val="17"/>
              </w:rPr>
            </w:pPr>
            <w:r w:rsidRPr="002A25BE">
              <w:rPr>
                <w:sz w:val="16"/>
                <w:szCs w:val="16"/>
              </w:rPr>
              <w:lastRenderedPageBreak/>
              <w:t xml:space="preserve">Оказание информационной и  консультационной  поддержки субъектам МСП осуществляет  МАУ «Володарский центр развития бизнеса» по всем вопросам ведения хозяйственной деятельности.  В </w:t>
            </w:r>
            <w:r w:rsidRPr="002A25BE">
              <w:rPr>
                <w:sz w:val="16"/>
                <w:szCs w:val="16"/>
              </w:rPr>
              <w:lastRenderedPageBreak/>
              <w:t>текущем  году  консультационные услуги субъектам МСП данной сферы не оказывались в связи с отсутствием организаций в сфере поставки сжиженного газа</w:t>
            </w:r>
          </w:p>
        </w:tc>
        <w:tc>
          <w:tcPr>
            <w:tcW w:w="3260" w:type="dxa"/>
          </w:tcPr>
          <w:p w14:paraId="7C254007" w14:textId="77777777" w:rsidR="007E6024" w:rsidRPr="006C105D" w:rsidRDefault="007E6024" w:rsidP="00115D5A">
            <w:pPr>
              <w:jc w:val="both"/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lastRenderedPageBreak/>
              <w:t xml:space="preserve">Доля организаций частной формы собственности в сфере поставки сжиженного газа в баллонах </w:t>
            </w:r>
          </w:p>
          <w:p w14:paraId="3C16421B" w14:textId="77777777" w:rsidR="007E6024" w:rsidRPr="0096459F" w:rsidRDefault="007E6024" w:rsidP="00115D5A">
            <w:pPr>
              <w:pStyle w:val="ConsPlusNormal"/>
              <w:rPr>
                <w:sz w:val="17"/>
                <w:szCs w:val="17"/>
              </w:rPr>
            </w:pPr>
            <w:r w:rsidRPr="006C105D">
              <w:rPr>
                <w:sz w:val="16"/>
                <w:szCs w:val="16"/>
              </w:rPr>
              <w:lastRenderedPageBreak/>
              <w:t>(доля объема реализованных на рынке товаров, работ, услуг в натуральном выражении (м3) организациями частной формы собственности от общего объема реализованных на рынке товаров, работ, услуг в натуральном выражении (м3) всеми хозяйствующими субъектами), %</w:t>
            </w:r>
          </w:p>
        </w:tc>
        <w:tc>
          <w:tcPr>
            <w:tcW w:w="1701" w:type="dxa"/>
          </w:tcPr>
          <w:p w14:paraId="3CF2DF80" w14:textId="6EA7D7FA" w:rsidR="007E6024" w:rsidRPr="00851D49" w:rsidRDefault="0050385D" w:rsidP="00115D5A">
            <w:pPr>
              <w:jc w:val="center"/>
              <w:rPr>
                <w:sz w:val="18"/>
                <w:szCs w:val="18"/>
                <w:highlight w:val="green"/>
              </w:rPr>
            </w:pPr>
            <w:r w:rsidRPr="0050385D">
              <w:rPr>
                <w:sz w:val="18"/>
                <w:szCs w:val="18"/>
              </w:rPr>
              <w:lastRenderedPageBreak/>
              <w:t>-</w:t>
            </w:r>
          </w:p>
        </w:tc>
      </w:tr>
      <w:tr w:rsidR="007E6024" w:rsidRPr="0091041C" w14:paraId="5CDEA96F" w14:textId="77777777" w:rsidTr="00115D5A">
        <w:tc>
          <w:tcPr>
            <w:tcW w:w="15310" w:type="dxa"/>
            <w:gridSpan w:val="5"/>
          </w:tcPr>
          <w:p w14:paraId="3DF0E06E" w14:textId="77777777" w:rsidR="007E6024" w:rsidRPr="0096459F" w:rsidRDefault="007E6024" w:rsidP="00115D5A">
            <w:pPr>
              <w:rPr>
                <w:i/>
                <w:iCs/>
                <w:color w:val="7030A0"/>
                <w:sz w:val="17"/>
                <w:szCs w:val="17"/>
                <w:highlight w:val="green"/>
              </w:rPr>
            </w:pPr>
            <w:r w:rsidRPr="0096459F">
              <w:rPr>
                <w:b/>
                <w:sz w:val="17"/>
                <w:szCs w:val="17"/>
              </w:rPr>
              <w:lastRenderedPageBreak/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7E6024" w:rsidRPr="0091041C" w14:paraId="2C703F86" w14:textId="77777777" w:rsidTr="00115D5A">
        <w:tc>
          <w:tcPr>
            <w:tcW w:w="993" w:type="dxa"/>
          </w:tcPr>
          <w:p w14:paraId="6517007B" w14:textId="77777777" w:rsidR="007E6024" w:rsidRPr="00144E3A" w:rsidRDefault="007E6024" w:rsidP="00115D5A">
            <w:pPr>
              <w:jc w:val="center"/>
              <w:rPr>
                <w:sz w:val="18"/>
                <w:szCs w:val="18"/>
              </w:rPr>
            </w:pPr>
            <w:r w:rsidRPr="00144E3A">
              <w:rPr>
                <w:b/>
                <w:sz w:val="18"/>
                <w:szCs w:val="18"/>
              </w:rPr>
              <w:t>2.7.2</w:t>
            </w:r>
            <w:r w:rsidRPr="00144E3A">
              <w:rPr>
                <w:sz w:val="18"/>
                <w:szCs w:val="18"/>
              </w:rPr>
              <w:t xml:space="preserve"> (2.18.2)</w:t>
            </w:r>
          </w:p>
        </w:tc>
        <w:tc>
          <w:tcPr>
            <w:tcW w:w="4394" w:type="dxa"/>
          </w:tcPr>
          <w:p w14:paraId="3E7A63DF" w14:textId="77777777" w:rsidR="007E6024" w:rsidRPr="00144E3A" w:rsidRDefault="007E6024" w:rsidP="00115D5A">
            <w:pPr>
              <w:rPr>
                <w:sz w:val="18"/>
                <w:szCs w:val="18"/>
              </w:rPr>
            </w:pPr>
            <w:r w:rsidRPr="00144E3A">
              <w:rPr>
                <w:bCs/>
                <w:sz w:val="18"/>
                <w:szCs w:val="18"/>
              </w:rPr>
              <w:t>Оказание консультационных услуг участникам рынкам по существующим мерам поддержки и вопросам лицензирования</w:t>
            </w:r>
          </w:p>
        </w:tc>
        <w:tc>
          <w:tcPr>
            <w:tcW w:w="4962" w:type="dxa"/>
          </w:tcPr>
          <w:p w14:paraId="78563F25" w14:textId="77777777" w:rsidR="007E6024" w:rsidRPr="006E79B7" w:rsidRDefault="007E6024" w:rsidP="00115D5A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</w:tcPr>
          <w:p w14:paraId="1FC1662E" w14:textId="77777777" w:rsidR="007E6024" w:rsidRPr="006C105D" w:rsidRDefault="007E6024" w:rsidP="00115D5A">
            <w:pPr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t>Доля услуг (работ) по перевозке пассажиров  автомобильным транспортом по муниципальным маршрутам регулярных перевозок, оказанных (выполненных) организациями частной формы собственности (по количеству перевезенных пассажиров), %</w:t>
            </w:r>
          </w:p>
        </w:tc>
        <w:tc>
          <w:tcPr>
            <w:tcW w:w="1701" w:type="dxa"/>
          </w:tcPr>
          <w:p w14:paraId="5979B060" w14:textId="77777777" w:rsidR="007E6024" w:rsidRPr="00144E3A" w:rsidRDefault="007E6024" w:rsidP="00115D5A">
            <w:pPr>
              <w:jc w:val="center"/>
              <w:rPr>
                <w:sz w:val="20"/>
              </w:rPr>
            </w:pPr>
          </w:p>
        </w:tc>
      </w:tr>
      <w:tr w:rsidR="007E6024" w:rsidRPr="0091041C" w14:paraId="01F4B613" w14:textId="77777777" w:rsidTr="00115D5A">
        <w:tc>
          <w:tcPr>
            <w:tcW w:w="993" w:type="dxa"/>
          </w:tcPr>
          <w:p w14:paraId="6941B9B0" w14:textId="77777777" w:rsidR="007E6024" w:rsidRPr="002B1C58" w:rsidRDefault="007E6024" w:rsidP="00115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7" w:type="dxa"/>
            <w:gridSpan w:val="4"/>
          </w:tcPr>
          <w:p w14:paraId="197D961E" w14:textId="77777777" w:rsidR="007E6024" w:rsidRPr="006E79B7" w:rsidRDefault="007E6024" w:rsidP="00115D5A">
            <w:pPr>
              <w:rPr>
                <w:i/>
                <w:iCs/>
                <w:color w:val="7030A0"/>
                <w:sz w:val="17"/>
                <w:szCs w:val="17"/>
              </w:rPr>
            </w:pPr>
            <w:bookmarkStart w:id="1" w:name="_Hlk19526063"/>
            <w:r w:rsidRPr="006E79B7">
              <w:rPr>
                <w:b/>
                <w:sz w:val="17"/>
                <w:szCs w:val="17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  <w:bookmarkEnd w:id="1"/>
          </w:p>
        </w:tc>
      </w:tr>
      <w:tr w:rsidR="007E6024" w:rsidRPr="00867200" w14:paraId="4C937B9C" w14:textId="77777777" w:rsidTr="00115D5A">
        <w:tc>
          <w:tcPr>
            <w:tcW w:w="993" w:type="dxa"/>
          </w:tcPr>
          <w:p w14:paraId="23F99AB8" w14:textId="77777777" w:rsidR="007E6024" w:rsidRPr="00867200" w:rsidRDefault="007E6024" w:rsidP="00115D5A">
            <w:pPr>
              <w:jc w:val="center"/>
              <w:rPr>
                <w:sz w:val="18"/>
                <w:szCs w:val="18"/>
              </w:rPr>
            </w:pPr>
            <w:r w:rsidRPr="00867200">
              <w:rPr>
                <w:b/>
                <w:sz w:val="18"/>
                <w:szCs w:val="18"/>
              </w:rPr>
              <w:t>2.8.1</w:t>
            </w:r>
            <w:r w:rsidRPr="00867200">
              <w:rPr>
                <w:sz w:val="18"/>
                <w:szCs w:val="18"/>
              </w:rPr>
              <w:t xml:space="preserve"> (2.22.1)</w:t>
            </w:r>
          </w:p>
        </w:tc>
        <w:tc>
          <w:tcPr>
            <w:tcW w:w="4394" w:type="dxa"/>
          </w:tcPr>
          <w:p w14:paraId="39B157F1" w14:textId="77777777" w:rsidR="007E6024" w:rsidRPr="00867200" w:rsidRDefault="007E6024" w:rsidP="00115D5A">
            <w:pPr>
              <w:rPr>
                <w:sz w:val="22"/>
                <w:szCs w:val="22"/>
              </w:rPr>
            </w:pPr>
            <w:r w:rsidRPr="00867200">
              <w:rPr>
                <w:sz w:val="18"/>
                <w:szCs w:val="18"/>
              </w:rPr>
              <w:t>Оказание содействия операторам связи в реализации инвестиционных проектов по строительству объектов связи на территории Володарского района, в том числе в размещении оборудования базовых станций на землях и объектах муниципальной собственности на территории Володарского округа по мере поступления запросов от организаций-операторов</w:t>
            </w:r>
          </w:p>
        </w:tc>
        <w:tc>
          <w:tcPr>
            <w:tcW w:w="4962" w:type="dxa"/>
          </w:tcPr>
          <w:p w14:paraId="638793E3" w14:textId="5B6D4F86" w:rsidR="007E6024" w:rsidRPr="006E79B7" w:rsidRDefault="002B69F1" w:rsidP="00115D5A">
            <w:pPr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За  2024 год поступило 1 обращение от ПАО «Мегафон»  с просьбой </w:t>
            </w:r>
            <w:proofErr w:type="gramStart"/>
            <w:r>
              <w:rPr>
                <w:sz w:val="16"/>
                <w:szCs w:val="16"/>
              </w:rPr>
              <w:t>разместить  подвес</w:t>
            </w:r>
            <w:proofErr w:type="gramEnd"/>
            <w:r>
              <w:rPr>
                <w:sz w:val="16"/>
                <w:szCs w:val="16"/>
              </w:rPr>
              <w:t xml:space="preserve"> кабеля на опоры освещения по адресу: Нижегородская область, Володарский район, от ул. Школьная, 29 до 2-я Песчаная, 4.  Обращение находится на стадии рассмотрения.</w:t>
            </w:r>
          </w:p>
        </w:tc>
        <w:tc>
          <w:tcPr>
            <w:tcW w:w="3260" w:type="dxa"/>
          </w:tcPr>
          <w:p w14:paraId="63415569" w14:textId="77777777" w:rsidR="007E6024" w:rsidRPr="006C105D" w:rsidRDefault="007E6024" w:rsidP="00115D5A">
            <w:pPr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по отношению к показателям 2021 года, %</w:t>
            </w:r>
          </w:p>
        </w:tc>
        <w:tc>
          <w:tcPr>
            <w:tcW w:w="1701" w:type="dxa"/>
          </w:tcPr>
          <w:p w14:paraId="5C769734" w14:textId="0B90BBF9" w:rsidR="007E6024" w:rsidRPr="00867200" w:rsidRDefault="002B69F1" w:rsidP="0011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6024" w:rsidRPr="00867200" w14:paraId="569915D8" w14:textId="77777777" w:rsidTr="00115D5A">
        <w:tc>
          <w:tcPr>
            <w:tcW w:w="993" w:type="dxa"/>
          </w:tcPr>
          <w:p w14:paraId="50F9E1B8" w14:textId="77777777" w:rsidR="007E6024" w:rsidRPr="00867200" w:rsidRDefault="007E6024" w:rsidP="00115D5A">
            <w:pPr>
              <w:jc w:val="center"/>
              <w:rPr>
                <w:sz w:val="18"/>
                <w:szCs w:val="18"/>
              </w:rPr>
            </w:pPr>
            <w:r w:rsidRPr="00867200">
              <w:rPr>
                <w:b/>
                <w:sz w:val="18"/>
                <w:szCs w:val="18"/>
              </w:rPr>
              <w:t>2.8.2</w:t>
            </w:r>
            <w:r w:rsidRPr="00867200">
              <w:rPr>
                <w:sz w:val="18"/>
                <w:szCs w:val="18"/>
              </w:rPr>
              <w:t xml:space="preserve"> (2.22.2, 2.22.3)</w:t>
            </w:r>
          </w:p>
        </w:tc>
        <w:tc>
          <w:tcPr>
            <w:tcW w:w="4394" w:type="dxa"/>
          </w:tcPr>
          <w:p w14:paraId="1D5525B7" w14:textId="77777777" w:rsidR="007E6024" w:rsidRPr="00867200" w:rsidRDefault="007E6024" w:rsidP="00115D5A">
            <w:pPr>
              <w:pStyle w:val="ConsPlusNormal"/>
              <w:rPr>
                <w:sz w:val="18"/>
                <w:szCs w:val="18"/>
              </w:rPr>
            </w:pPr>
            <w:r w:rsidRPr="00867200">
              <w:rPr>
                <w:sz w:val="18"/>
                <w:szCs w:val="18"/>
              </w:rPr>
              <w:t xml:space="preserve">Оказание консультационной поддержки организациям отрасли "Связь", предоставляющим услуги на территории Володарского муниципального района, по вопросам участия в государственных и муниципальных закупках, предоставления государственной поддержки. </w:t>
            </w:r>
          </w:p>
          <w:p w14:paraId="66949719" w14:textId="77777777" w:rsidR="007E6024" w:rsidRPr="00867200" w:rsidRDefault="007E6024" w:rsidP="00115D5A">
            <w:pPr>
              <w:pStyle w:val="ConsPlusNormal"/>
              <w:rPr>
                <w:sz w:val="18"/>
                <w:szCs w:val="18"/>
              </w:rPr>
            </w:pPr>
            <w:r w:rsidRPr="00867200">
              <w:rPr>
                <w:sz w:val="18"/>
                <w:szCs w:val="18"/>
              </w:rPr>
              <w:t>Недопущение создания преимущественных условий отдельным субъектам предпринимательской деятельности при участии в  муниципальных закупах.</w:t>
            </w:r>
          </w:p>
        </w:tc>
        <w:tc>
          <w:tcPr>
            <w:tcW w:w="4962" w:type="dxa"/>
          </w:tcPr>
          <w:p w14:paraId="6D758E12" w14:textId="2B6C3B64" w:rsidR="007E6024" w:rsidRPr="006E79B7" w:rsidRDefault="00E4472B" w:rsidP="002B69F1">
            <w:pPr>
              <w:rPr>
                <w:sz w:val="17"/>
                <w:szCs w:val="17"/>
              </w:rPr>
            </w:pPr>
            <w:r w:rsidRPr="00106DAC">
              <w:rPr>
                <w:sz w:val="16"/>
                <w:szCs w:val="16"/>
              </w:rPr>
              <w:t xml:space="preserve">Администрацией Володарского муниципального округа организовано предоставление  консультационной и организационной поддержки операторам мобильной связи, которую осуществляет  МАУ «Володарский </w:t>
            </w:r>
            <w:proofErr w:type="spellStart"/>
            <w:r w:rsidRPr="00106DAC">
              <w:rPr>
                <w:sz w:val="16"/>
                <w:szCs w:val="16"/>
              </w:rPr>
              <w:t>бизнесцентр</w:t>
            </w:r>
            <w:proofErr w:type="spellEnd"/>
            <w:r w:rsidRPr="00106DAC">
              <w:rPr>
                <w:sz w:val="16"/>
                <w:szCs w:val="16"/>
              </w:rPr>
              <w:t>» и сотрудники администрации округа. На территории Володарского муниципального округа широкополосный доступ в Интернет предоставляется по различным технологиям: проводным  и беспроводным.  Услуги проводной телефонии и интернета предоставляются ПАО «Ростелеком», ООО "</w:t>
            </w:r>
            <w:proofErr w:type="spellStart"/>
            <w:r w:rsidRPr="00106DAC">
              <w:rPr>
                <w:sz w:val="16"/>
                <w:szCs w:val="16"/>
              </w:rPr>
              <w:t>Мегамакс</w:t>
            </w:r>
            <w:proofErr w:type="spellEnd"/>
            <w:r w:rsidRPr="00106DAC">
              <w:rPr>
                <w:sz w:val="16"/>
                <w:szCs w:val="16"/>
              </w:rPr>
              <w:t>".  Интернет-провайдером  для физических лиц является  ПАО «Ростелеком».</w:t>
            </w:r>
          </w:p>
        </w:tc>
        <w:tc>
          <w:tcPr>
            <w:tcW w:w="3260" w:type="dxa"/>
          </w:tcPr>
          <w:p w14:paraId="51D82945" w14:textId="77777777" w:rsidR="007E6024" w:rsidRPr="006C105D" w:rsidRDefault="007E6024" w:rsidP="00115D5A">
            <w:pPr>
              <w:rPr>
                <w:sz w:val="16"/>
                <w:szCs w:val="16"/>
              </w:rPr>
            </w:pPr>
            <w:r w:rsidRPr="006C105D">
              <w:rPr>
                <w:sz w:val="16"/>
                <w:szCs w:val="16"/>
              </w:rPr>
              <w:t>Доля организаций частной формы собственности в сфере оказания услуг по предоставлению широкополосного доступа к сети "Интернет" (доля объема реализованных на рынке товаров, работ, услуг в натуральном выражении (Гбайт) организациями частной формы собственности в общем объеме реализованных на рынке товаров, работ, услуг в натуральном выражении (Гбайт) организациями всех форм собственности), %</w:t>
            </w:r>
          </w:p>
        </w:tc>
        <w:tc>
          <w:tcPr>
            <w:tcW w:w="1701" w:type="dxa"/>
          </w:tcPr>
          <w:p w14:paraId="6CB42916" w14:textId="5B90E45A" w:rsidR="007E6024" w:rsidRPr="00867200" w:rsidRDefault="00E4472B" w:rsidP="0011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49E7EC30" w14:textId="77777777" w:rsidR="007E6024" w:rsidRPr="004A517A" w:rsidRDefault="007E6024" w:rsidP="007E6024">
      <w:pPr>
        <w:rPr>
          <w:sz w:val="18"/>
          <w:szCs w:val="18"/>
        </w:rPr>
      </w:pPr>
    </w:p>
    <w:p w14:paraId="6A4ADCAF" w14:textId="77777777" w:rsidR="007E6024" w:rsidRDefault="007E6024" w:rsidP="0017222B"/>
    <w:p w14:paraId="74D9247D" w14:textId="77777777" w:rsidR="007F55F7" w:rsidRDefault="007F55F7"/>
    <w:sectPr w:rsidR="007F55F7" w:rsidSect="00A51BE9">
      <w:headerReference w:type="default" r:id="rId14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F7A93" w14:textId="77777777" w:rsidR="00770FE6" w:rsidRDefault="00770FE6" w:rsidP="00610F1A">
      <w:r>
        <w:separator/>
      </w:r>
    </w:p>
  </w:endnote>
  <w:endnote w:type="continuationSeparator" w:id="0">
    <w:p w14:paraId="5D99579C" w14:textId="77777777" w:rsidR="00770FE6" w:rsidRDefault="00770FE6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DA7A7" w14:textId="77777777" w:rsidR="00770FE6" w:rsidRDefault="00770FE6" w:rsidP="00610F1A">
      <w:r>
        <w:separator/>
      </w:r>
    </w:p>
  </w:footnote>
  <w:footnote w:type="continuationSeparator" w:id="0">
    <w:p w14:paraId="4CED3CD7" w14:textId="77777777" w:rsidR="00770FE6" w:rsidRDefault="00770FE6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115D5A" w:rsidRDefault="00115D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8A6">
          <w:rPr>
            <w:noProof/>
          </w:rPr>
          <w:t>13</w:t>
        </w:r>
        <w:r>
          <w:fldChar w:fldCharType="end"/>
        </w:r>
      </w:p>
    </w:sdtContent>
  </w:sdt>
  <w:p w14:paraId="67C04B59" w14:textId="77777777" w:rsidR="00115D5A" w:rsidRDefault="00115D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17"/>
    <w:rsid w:val="00001E61"/>
    <w:rsid w:val="00012889"/>
    <w:rsid w:val="0002554C"/>
    <w:rsid w:val="000272B8"/>
    <w:rsid w:val="0005622B"/>
    <w:rsid w:val="000A62C9"/>
    <w:rsid w:val="000B040D"/>
    <w:rsid w:val="000C4E1A"/>
    <w:rsid w:val="000D0F52"/>
    <w:rsid w:val="000E230A"/>
    <w:rsid w:val="000F7E7E"/>
    <w:rsid w:val="00105362"/>
    <w:rsid w:val="00115D5A"/>
    <w:rsid w:val="001345DA"/>
    <w:rsid w:val="00142141"/>
    <w:rsid w:val="00151805"/>
    <w:rsid w:val="00154F7F"/>
    <w:rsid w:val="001576E9"/>
    <w:rsid w:val="00162413"/>
    <w:rsid w:val="001713B4"/>
    <w:rsid w:val="0017222B"/>
    <w:rsid w:val="0018132A"/>
    <w:rsid w:val="00196448"/>
    <w:rsid w:val="001E2F9C"/>
    <w:rsid w:val="001E31F3"/>
    <w:rsid w:val="00206968"/>
    <w:rsid w:val="00206F53"/>
    <w:rsid w:val="00211524"/>
    <w:rsid w:val="002156F1"/>
    <w:rsid w:val="002463ED"/>
    <w:rsid w:val="002A3ECB"/>
    <w:rsid w:val="002A7508"/>
    <w:rsid w:val="002B1AF8"/>
    <w:rsid w:val="002B69F1"/>
    <w:rsid w:val="002B7F64"/>
    <w:rsid w:val="002D27C6"/>
    <w:rsid w:val="002D3A4D"/>
    <w:rsid w:val="002F3791"/>
    <w:rsid w:val="002F58AB"/>
    <w:rsid w:val="00303148"/>
    <w:rsid w:val="003247DA"/>
    <w:rsid w:val="00332AD3"/>
    <w:rsid w:val="00345767"/>
    <w:rsid w:val="003717A7"/>
    <w:rsid w:val="003738E5"/>
    <w:rsid w:val="003829B3"/>
    <w:rsid w:val="003B31F5"/>
    <w:rsid w:val="003B5BD5"/>
    <w:rsid w:val="003F2F62"/>
    <w:rsid w:val="004077AC"/>
    <w:rsid w:val="0041570F"/>
    <w:rsid w:val="004158BF"/>
    <w:rsid w:val="00422499"/>
    <w:rsid w:val="00423B0D"/>
    <w:rsid w:val="00472FAA"/>
    <w:rsid w:val="00483475"/>
    <w:rsid w:val="00495880"/>
    <w:rsid w:val="004A4A74"/>
    <w:rsid w:val="004B7D22"/>
    <w:rsid w:val="00500466"/>
    <w:rsid w:val="0050385D"/>
    <w:rsid w:val="005158CE"/>
    <w:rsid w:val="00521137"/>
    <w:rsid w:val="00525E67"/>
    <w:rsid w:val="00535BD4"/>
    <w:rsid w:val="00542A7B"/>
    <w:rsid w:val="00551487"/>
    <w:rsid w:val="00560E9B"/>
    <w:rsid w:val="00561292"/>
    <w:rsid w:val="00563F22"/>
    <w:rsid w:val="005817E1"/>
    <w:rsid w:val="005914E4"/>
    <w:rsid w:val="005C0777"/>
    <w:rsid w:val="005C3C91"/>
    <w:rsid w:val="005C771E"/>
    <w:rsid w:val="005D4E6A"/>
    <w:rsid w:val="005E1267"/>
    <w:rsid w:val="00610F1A"/>
    <w:rsid w:val="006114CF"/>
    <w:rsid w:val="006515B9"/>
    <w:rsid w:val="0069644C"/>
    <w:rsid w:val="006D30F3"/>
    <w:rsid w:val="006D55CE"/>
    <w:rsid w:val="006D5BC1"/>
    <w:rsid w:val="006E4AAB"/>
    <w:rsid w:val="006F2CC8"/>
    <w:rsid w:val="00700C09"/>
    <w:rsid w:val="00701C44"/>
    <w:rsid w:val="0075716C"/>
    <w:rsid w:val="007573C8"/>
    <w:rsid w:val="00770FE6"/>
    <w:rsid w:val="00781455"/>
    <w:rsid w:val="00781550"/>
    <w:rsid w:val="00783BCC"/>
    <w:rsid w:val="0078600E"/>
    <w:rsid w:val="007B4963"/>
    <w:rsid w:val="007C3FB5"/>
    <w:rsid w:val="007E3583"/>
    <w:rsid w:val="007E6024"/>
    <w:rsid w:val="007F55F7"/>
    <w:rsid w:val="008121D1"/>
    <w:rsid w:val="00812C97"/>
    <w:rsid w:val="00821F08"/>
    <w:rsid w:val="00824CC1"/>
    <w:rsid w:val="00854A1A"/>
    <w:rsid w:val="0087062E"/>
    <w:rsid w:val="008871C9"/>
    <w:rsid w:val="00894F0E"/>
    <w:rsid w:val="008B3175"/>
    <w:rsid w:val="008C4C2F"/>
    <w:rsid w:val="008C66CB"/>
    <w:rsid w:val="008D4DEC"/>
    <w:rsid w:val="00906B2D"/>
    <w:rsid w:val="009113E2"/>
    <w:rsid w:val="00916376"/>
    <w:rsid w:val="009425FC"/>
    <w:rsid w:val="00961EFB"/>
    <w:rsid w:val="00962391"/>
    <w:rsid w:val="00973C09"/>
    <w:rsid w:val="00985F26"/>
    <w:rsid w:val="009B4035"/>
    <w:rsid w:val="009D1933"/>
    <w:rsid w:val="00A25A98"/>
    <w:rsid w:val="00A27B25"/>
    <w:rsid w:val="00A45002"/>
    <w:rsid w:val="00A51978"/>
    <w:rsid w:val="00A51BE9"/>
    <w:rsid w:val="00A600DC"/>
    <w:rsid w:val="00A65B37"/>
    <w:rsid w:val="00A66907"/>
    <w:rsid w:val="00A75AAD"/>
    <w:rsid w:val="00A779F2"/>
    <w:rsid w:val="00AC0CD5"/>
    <w:rsid w:val="00AD1AEF"/>
    <w:rsid w:val="00AD2B36"/>
    <w:rsid w:val="00AF3A06"/>
    <w:rsid w:val="00AF572C"/>
    <w:rsid w:val="00B261C3"/>
    <w:rsid w:val="00B462B7"/>
    <w:rsid w:val="00B5137C"/>
    <w:rsid w:val="00B54617"/>
    <w:rsid w:val="00B60CA0"/>
    <w:rsid w:val="00B83E2D"/>
    <w:rsid w:val="00B86875"/>
    <w:rsid w:val="00B9269E"/>
    <w:rsid w:val="00BB07EB"/>
    <w:rsid w:val="00BC6D4F"/>
    <w:rsid w:val="00C17DFB"/>
    <w:rsid w:val="00C268A4"/>
    <w:rsid w:val="00C35C70"/>
    <w:rsid w:val="00C5672D"/>
    <w:rsid w:val="00C5739F"/>
    <w:rsid w:val="00C5785A"/>
    <w:rsid w:val="00CA3E56"/>
    <w:rsid w:val="00CC7A0B"/>
    <w:rsid w:val="00CD0669"/>
    <w:rsid w:val="00CD0B41"/>
    <w:rsid w:val="00CE668D"/>
    <w:rsid w:val="00D0467A"/>
    <w:rsid w:val="00D2469B"/>
    <w:rsid w:val="00D578A6"/>
    <w:rsid w:val="00D654FA"/>
    <w:rsid w:val="00DA37B4"/>
    <w:rsid w:val="00DA38EC"/>
    <w:rsid w:val="00DA6020"/>
    <w:rsid w:val="00DB16BB"/>
    <w:rsid w:val="00DC2F09"/>
    <w:rsid w:val="00DC5344"/>
    <w:rsid w:val="00DF2091"/>
    <w:rsid w:val="00E029DD"/>
    <w:rsid w:val="00E14314"/>
    <w:rsid w:val="00E15963"/>
    <w:rsid w:val="00E20B7A"/>
    <w:rsid w:val="00E2569F"/>
    <w:rsid w:val="00E342B5"/>
    <w:rsid w:val="00E43400"/>
    <w:rsid w:val="00E4472B"/>
    <w:rsid w:val="00E677A6"/>
    <w:rsid w:val="00E83FF8"/>
    <w:rsid w:val="00E874BA"/>
    <w:rsid w:val="00E93137"/>
    <w:rsid w:val="00EA2276"/>
    <w:rsid w:val="00ED6932"/>
    <w:rsid w:val="00EE2FDD"/>
    <w:rsid w:val="00EF3108"/>
    <w:rsid w:val="00EF3BE2"/>
    <w:rsid w:val="00F00EDA"/>
    <w:rsid w:val="00F130A5"/>
    <w:rsid w:val="00F15D30"/>
    <w:rsid w:val="00F35C5E"/>
    <w:rsid w:val="00F708C8"/>
    <w:rsid w:val="00F71603"/>
    <w:rsid w:val="00F8505D"/>
    <w:rsid w:val="00FA018B"/>
    <w:rsid w:val="00FB625C"/>
    <w:rsid w:val="00FB69D3"/>
    <w:rsid w:val="00FC125B"/>
    <w:rsid w:val="00FE23B5"/>
    <w:rsid w:val="00FF494D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paragraph" w:customStyle="1" w:styleId="ConsPlusNormal">
    <w:name w:val="ConsPlusNormal"/>
    <w:rsid w:val="007E60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F3B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3BE2"/>
    <w:rPr>
      <w:rFonts w:ascii="Tahoma" w:eastAsia="Times New Roman" w:hAnsi="Tahoma" w:cs="Tahoma"/>
      <w:sz w:val="16"/>
      <w:szCs w:val="16"/>
      <w:lang w:eastAsia="zh-CN"/>
    </w:rPr>
  </w:style>
  <w:style w:type="character" w:styleId="af0">
    <w:name w:val="Hyperlink"/>
    <w:basedOn w:val="a0"/>
    <w:uiPriority w:val="99"/>
    <w:unhideWhenUsed/>
    <w:rsid w:val="00AD2B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paragraph" w:customStyle="1" w:styleId="ConsPlusNormal">
    <w:name w:val="ConsPlusNormal"/>
    <w:rsid w:val="007E60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F3B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3BE2"/>
    <w:rPr>
      <w:rFonts w:ascii="Tahoma" w:eastAsia="Times New Roman" w:hAnsi="Tahoma" w:cs="Tahoma"/>
      <w:sz w:val="16"/>
      <w:szCs w:val="16"/>
      <w:lang w:eastAsia="zh-CN"/>
    </w:rPr>
  </w:style>
  <w:style w:type="character" w:styleId="af0">
    <w:name w:val="Hyperlink"/>
    <w:basedOn w:val="a0"/>
    <w:uiPriority w:val="99"/>
    <w:unhideWhenUsed/>
    <w:rsid w:val="00AD2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4E83F0A0834A15DB53EB7DE39B06FE921D58692458E67942DEC0B03FC45EDF5D8F2D27A42C4F3B33FC7B29A1124FD38AAD5BF11BF46B35K2Q5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4E83F0A0834A15DB53EB7DE39B06FE921D58692458E67942DEC0B03FC45EDF5D8F2D25A12E456A61B37A75E74F5CD181AD59F207KFQ4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lodarsk.nobl.ru/activity/899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olodarsk.nobl.ru/activity/1219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36F5-EEAC-4373-8AF9-6B3A2946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15</Pages>
  <Words>6841</Words>
  <Characters>39000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User</cp:lastModifiedBy>
  <cp:revision>42</cp:revision>
  <cp:lastPrinted>2024-12-26T12:42:00Z</cp:lastPrinted>
  <dcterms:created xsi:type="dcterms:W3CDTF">2024-12-23T13:07:00Z</dcterms:created>
  <dcterms:modified xsi:type="dcterms:W3CDTF">2025-01-28T04:53:00Z</dcterms:modified>
</cp:coreProperties>
</file>